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F86C">
      <w:pPr>
        <w:jc w:val="center"/>
        <w:rPr>
          <w:rFonts w:hint="eastAsia" w:ascii="方正姚体" w:hAnsi="宋体" w:eastAsia="方正姚体" w:cs="Times New Roman"/>
          <w:b/>
          <w:sz w:val="40"/>
          <w:szCs w:val="40"/>
          <w:vertAlign w:val="subscript"/>
        </w:rPr>
      </w:pPr>
      <w:bookmarkStart w:id="19" w:name="_GoBack"/>
      <w:bookmarkEnd w:id="19"/>
    </w:p>
    <w:p w14:paraId="0B93FCD0">
      <w:pPr>
        <w:jc w:val="center"/>
        <w:rPr>
          <w:rFonts w:hint="eastAsia" w:ascii="方正姚体" w:hAnsi="宋体" w:eastAsia="方正姚体" w:cs="Times New Roman"/>
          <w:b/>
          <w:sz w:val="40"/>
          <w:szCs w:val="40"/>
        </w:rPr>
      </w:pPr>
    </w:p>
    <w:p w14:paraId="4756662B">
      <w:pPr>
        <w:jc w:val="center"/>
        <w:rPr>
          <w:rFonts w:hint="eastAsia" w:ascii="方正姚体" w:hAnsi="宋体" w:eastAsia="方正姚体" w:cs="Times New Roman"/>
          <w:b/>
          <w:sz w:val="40"/>
          <w:szCs w:val="40"/>
        </w:rPr>
      </w:pPr>
    </w:p>
    <w:p w14:paraId="589A58B6">
      <w:pPr>
        <w:spacing w:line="300" w:lineRule="auto"/>
        <w:ind w:right="-913" w:rightChars="-435"/>
        <w:jc w:val="center"/>
        <w:rPr>
          <w:rFonts w:ascii="黑体" w:hAnsi="Calibri" w:eastAsia="黑体" w:cs="Times New Roman"/>
          <w:sz w:val="52"/>
          <w:szCs w:val="52"/>
        </w:rPr>
      </w:pPr>
      <w:r>
        <w:rPr>
          <w:rFonts w:hint="eastAsia" w:ascii="宋体" w:hAnsi="宋体" w:eastAsia="宋体" w:cs="Times New Roman"/>
          <w:b/>
          <w:sz w:val="40"/>
          <w:szCs w:val="40"/>
        </w:rPr>
        <w:t>金审学院楼宇校园光网增补扩建项目</w:t>
      </w:r>
    </w:p>
    <w:p w14:paraId="344A16D5">
      <w:pPr>
        <w:spacing w:line="300" w:lineRule="auto"/>
        <w:jc w:val="center"/>
        <w:rPr>
          <w:rFonts w:ascii="黑体" w:hAnsi="Calibri" w:eastAsia="黑体" w:cs="Times New Roman"/>
          <w:sz w:val="52"/>
          <w:szCs w:val="52"/>
        </w:rPr>
      </w:pPr>
    </w:p>
    <w:p w14:paraId="195AC59E">
      <w:pPr>
        <w:spacing w:line="300" w:lineRule="auto"/>
        <w:jc w:val="center"/>
        <w:rPr>
          <w:rFonts w:ascii="黑体" w:hAnsi="Calibri" w:eastAsia="黑体" w:cs="Times New Roman"/>
          <w:sz w:val="52"/>
          <w:szCs w:val="52"/>
        </w:rPr>
      </w:pPr>
    </w:p>
    <w:p w14:paraId="4A5C08E0">
      <w:pPr>
        <w:spacing w:line="300" w:lineRule="auto"/>
        <w:jc w:val="center"/>
        <w:rPr>
          <w:rFonts w:ascii="黑体" w:hAnsi="Calibri" w:eastAsia="黑体" w:cs="Times New Roman"/>
          <w:sz w:val="52"/>
          <w:szCs w:val="52"/>
        </w:rPr>
      </w:pPr>
    </w:p>
    <w:p w14:paraId="47CD6858">
      <w:pPr>
        <w:spacing w:line="300" w:lineRule="auto"/>
        <w:jc w:val="center"/>
        <w:rPr>
          <w:rFonts w:ascii="黑体" w:hAnsi="Calibri" w:eastAsia="黑体" w:cs="Times New Roman"/>
          <w:sz w:val="52"/>
          <w:szCs w:val="52"/>
        </w:rPr>
      </w:pPr>
      <w:r>
        <w:rPr>
          <w:rFonts w:hint="eastAsia" w:ascii="黑体" w:hAnsi="Calibri" w:eastAsia="黑体" w:cs="Times New Roman"/>
          <w:sz w:val="52"/>
          <w:szCs w:val="52"/>
        </w:rPr>
        <w:t>竞争性磋商文件</w:t>
      </w:r>
    </w:p>
    <w:p w14:paraId="2E28D22F">
      <w:pPr>
        <w:spacing w:line="300" w:lineRule="auto"/>
        <w:jc w:val="center"/>
        <w:rPr>
          <w:rFonts w:ascii="Calibri" w:hAnsi="Calibri" w:eastAsia="方正仿宋_GBK" w:cs="Times New Roman"/>
          <w:b/>
          <w:snapToGrid w:val="0"/>
          <w:sz w:val="24"/>
          <w:szCs w:val="24"/>
        </w:rPr>
      </w:pPr>
    </w:p>
    <w:p w14:paraId="6F142339">
      <w:pPr>
        <w:spacing w:line="300" w:lineRule="auto"/>
        <w:jc w:val="center"/>
        <w:rPr>
          <w:rFonts w:ascii="Calibri" w:hAnsi="Calibri" w:eastAsia="方正仿宋_GBK" w:cs="Times New Roman"/>
          <w:b/>
          <w:snapToGrid w:val="0"/>
          <w:sz w:val="24"/>
        </w:rPr>
      </w:pPr>
    </w:p>
    <w:p w14:paraId="72982CDA">
      <w:pPr>
        <w:spacing w:line="300" w:lineRule="auto"/>
        <w:jc w:val="center"/>
        <w:rPr>
          <w:rFonts w:ascii="Calibri" w:hAnsi="Calibri" w:eastAsia="方正仿宋_GBK" w:cs="Times New Roman"/>
          <w:b/>
          <w:snapToGrid w:val="0"/>
          <w:sz w:val="24"/>
        </w:rPr>
      </w:pPr>
    </w:p>
    <w:p w14:paraId="52FD9DCE">
      <w:pPr>
        <w:spacing w:line="300" w:lineRule="auto"/>
        <w:jc w:val="center"/>
        <w:rPr>
          <w:rFonts w:ascii="Calibri" w:hAnsi="Calibri" w:eastAsia="方正仿宋_GBK" w:cs="Times New Roman"/>
          <w:b/>
          <w:snapToGrid w:val="0"/>
          <w:sz w:val="24"/>
        </w:rPr>
      </w:pPr>
    </w:p>
    <w:p w14:paraId="669BD65A">
      <w:pPr>
        <w:spacing w:line="300" w:lineRule="auto"/>
        <w:jc w:val="center"/>
        <w:rPr>
          <w:rFonts w:ascii="Calibri" w:hAnsi="Calibri" w:eastAsia="方正仿宋_GBK" w:cs="Times New Roman"/>
          <w:b/>
          <w:snapToGrid w:val="0"/>
          <w:sz w:val="24"/>
        </w:rPr>
      </w:pPr>
    </w:p>
    <w:p w14:paraId="037B37D4">
      <w:pPr>
        <w:spacing w:line="300" w:lineRule="auto"/>
        <w:jc w:val="right"/>
        <w:rPr>
          <w:rFonts w:ascii="Calibri" w:hAnsi="Calibri" w:eastAsia="方正仿宋_GBK" w:cs="Times New Roman"/>
          <w:sz w:val="36"/>
          <w:szCs w:val="36"/>
        </w:rPr>
      </w:pPr>
    </w:p>
    <w:p w14:paraId="29198088">
      <w:pPr>
        <w:spacing w:line="300" w:lineRule="auto"/>
        <w:rPr>
          <w:rFonts w:hint="eastAsia" w:ascii="宋体" w:hAnsi="宋体" w:eastAsia="宋体" w:cs="Times New Roman"/>
          <w:sz w:val="36"/>
          <w:szCs w:val="36"/>
        </w:rPr>
      </w:pPr>
    </w:p>
    <w:p w14:paraId="5264A3F1">
      <w:pPr>
        <w:keepNext/>
        <w:keepLines/>
        <w:widowControl/>
        <w:spacing w:before="480" w:line="276" w:lineRule="auto"/>
        <w:jc w:val="center"/>
        <w:rPr>
          <w:rFonts w:hint="eastAsia" w:ascii="宋体" w:hAnsi="宋体" w:eastAsia="宋体" w:cs="Times New Roman"/>
          <w:b/>
          <w:bCs/>
          <w:sz w:val="32"/>
          <w:szCs w:val="32"/>
        </w:rPr>
      </w:pPr>
      <w:r>
        <w:rPr>
          <w:rFonts w:hint="eastAsia" w:ascii="宋体" w:hAnsi="宋体" w:eastAsia="宋体" w:cs="Times New Roman"/>
          <w:b/>
          <w:bCs/>
          <w:sz w:val="32"/>
          <w:szCs w:val="32"/>
        </w:rPr>
        <w:t>采购人 ：</w:t>
      </w:r>
      <w:r>
        <w:rPr>
          <w:rFonts w:hint="eastAsia" w:ascii="宋体" w:hAnsi="宋体" w:eastAsia="宋体" w:cs="Times New Roman"/>
          <w:b/>
          <w:bCs/>
          <w:sz w:val="32"/>
          <w:szCs w:val="32"/>
          <w:u w:val="single"/>
        </w:rPr>
        <w:t>南京审计大学金审学院</w:t>
      </w:r>
    </w:p>
    <w:p w14:paraId="79F239C7">
      <w:pPr>
        <w:keepNext/>
        <w:keepLines/>
        <w:widowControl/>
        <w:spacing w:before="480" w:line="276" w:lineRule="auto"/>
        <w:jc w:val="center"/>
        <w:rPr>
          <w:rFonts w:hint="eastAsia" w:ascii="黑体" w:hAnsi="黑体" w:eastAsia="黑体" w:cs="Times New Roman"/>
          <w:b/>
          <w:bCs/>
          <w:kern w:val="0"/>
          <w:sz w:val="36"/>
          <w:szCs w:val="36"/>
          <w:lang w:val="zh-CN"/>
        </w:rPr>
      </w:pPr>
      <w:r>
        <w:rPr>
          <w:rFonts w:hint="eastAsia" w:ascii="宋体" w:hAnsi="宋体" w:eastAsia="宋体" w:cs="Times New Roman"/>
          <w:b/>
          <w:bCs/>
          <w:sz w:val="32"/>
          <w:szCs w:val="32"/>
        </w:rPr>
        <w:t>2024年10月</w:t>
      </w:r>
      <w:r>
        <w:rPr>
          <w:rFonts w:ascii="Cambria" w:hAnsi="Cambria" w:eastAsia="宋体" w:cs="Times New Roman"/>
          <w:kern w:val="0"/>
          <w:sz w:val="28"/>
          <w:szCs w:val="28"/>
          <w:lang w:val="zh-CN"/>
        </w:rPr>
        <w:br w:type="page"/>
      </w:r>
      <w:r>
        <w:rPr>
          <w:rFonts w:hint="eastAsia" w:ascii="黑体" w:hAnsi="黑体" w:eastAsia="黑体" w:cs="Times New Roman"/>
          <w:b/>
          <w:bCs/>
          <w:kern w:val="0"/>
          <w:sz w:val="40"/>
          <w:szCs w:val="44"/>
          <w:lang w:val="zh-CN"/>
        </w:rPr>
        <w:t>目 录</w:t>
      </w:r>
    </w:p>
    <w:p w14:paraId="5C9F7057">
      <w:pPr>
        <w:rPr>
          <w:rFonts w:ascii="Times New Roman" w:hAnsi="Times New Roman" w:eastAsia="宋体" w:cs="Times New Roman"/>
          <w:szCs w:val="24"/>
          <w:lang w:val="zh-CN"/>
        </w:rPr>
      </w:pPr>
    </w:p>
    <w:p w14:paraId="1C823B1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rPr>
          <w:rFonts w:hint="eastAsia" w:ascii="宋体" w:hAnsi="宋体"/>
          <w:b/>
          <w:bCs/>
          <w:sz w:val="280"/>
          <w:szCs w:val="280"/>
        </w:rPr>
        <w:fldChar w:fldCharType="begin"/>
      </w:r>
      <w:r>
        <w:rPr>
          <w:rFonts w:hint="eastAsia" w:ascii="宋体" w:hAnsi="宋体"/>
          <w:b/>
          <w:bCs/>
          <w:sz w:val="280"/>
          <w:szCs w:val="280"/>
        </w:rPr>
        <w:instrText xml:space="preserve"> TOC \o "1-3" \h \z \u </w:instrText>
      </w:r>
      <w:r>
        <w:rPr>
          <w:rFonts w:hint="eastAsia" w:ascii="宋体" w:hAnsi="宋体"/>
          <w:b/>
          <w:bCs/>
          <w:sz w:val="280"/>
          <w:szCs w:val="280"/>
        </w:rPr>
        <w:fldChar w:fldCharType="separate"/>
      </w:r>
      <w:r>
        <w:fldChar w:fldCharType="begin"/>
      </w:r>
      <w:r>
        <w:instrText xml:space="preserve"> HYPERLINK \l "_Toc179553567" </w:instrText>
      </w:r>
      <w:r>
        <w:fldChar w:fldCharType="separate"/>
      </w:r>
      <w:r>
        <w:rPr>
          <w:rStyle w:val="69"/>
          <w:rFonts w:hint="eastAsia" w:ascii="宋体" w:hAnsi="宋体" w:cs="宋体"/>
          <w:b/>
          <w:bCs/>
          <w:kern w:val="0"/>
          <w:sz w:val="28"/>
          <w:szCs w:val="36"/>
        </w:rPr>
        <w:t>第一章  竞争性磋商公告</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_Toc179553567 \h</w:instrText>
      </w:r>
      <w:r>
        <w:rPr>
          <w:rFonts w:hint="eastAsia"/>
          <w:sz w:val="28"/>
          <w:szCs w:val="36"/>
        </w:rPr>
        <w:instrText xml:space="preserve"> </w:instrText>
      </w:r>
      <w:r>
        <w:rPr>
          <w:rFonts w:hint="eastAsia"/>
          <w:sz w:val="28"/>
          <w:szCs w:val="36"/>
        </w:rPr>
        <w:fldChar w:fldCharType="separate"/>
      </w:r>
      <w:r>
        <w:rPr>
          <w:sz w:val="28"/>
          <w:szCs w:val="36"/>
        </w:rPr>
        <w:t>2</w:t>
      </w:r>
      <w:r>
        <w:rPr>
          <w:rFonts w:hint="eastAsia"/>
          <w:sz w:val="28"/>
          <w:szCs w:val="36"/>
        </w:rPr>
        <w:fldChar w:fldCharType="end"/>
      </w:r>
      <w:r>
        <w:rPr>
          <w:rFonts w:hint="eastAsia"/>
          <w:sz w:val="28"/>
          <w:szCs w:val="36"/>
        </w:rPr>
        <w:fldChar w:fldCharType="end"/>
      </w:r>
    </w:p>
    <w:p w14:paraId="4B211527">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"_Toc179553568" </w:instrText>
      </w:r>
      <w:r>
        <w:fldChar w:fldCharType="separate"/>
      </w:r>
      <w:r>
        <w:rPr>
          <w:rStyle w:val="69"/>
          <w:rFonts w:hint="eastAsia" w:ascii="宋体" w:hAnsi="宋体" w:cs="宋体"/>
          <w:b/>
          <w:bCs/>
          <w:kern w:val="0"/>
          <w:sz w:val="28"/>
          <w:szCs w:val="36"/>
        </w:rPr>
        <w:t>第二章  投标人须知</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_Toc179553568 \h</w:instrText>
      </w:r>
      <w:r>
        <w:rPr>
          <w:rFonts w:hint="eastAsia"/>
          <w:sz w:val="28"/>
          <w:szCs w:val="36"/>
        </w:rPr>
        <w:instrText xml:space="preserve"> </w:instrText>
      </w:r>
      <w:r>
        <w:rPr>
          <w:rFonts w:hint="eastAsia"/>
          <w:sz w:val="28"/>
          <w:szCs w:val="36"/>
        </w:rPr>
        <w:fldChar w:fldCharType="separate"/>
      </w:r>
      <w:r>
        <w:rPr>
          <w:sz w:val="28"/>
          <w:szCs w:val="36"/>
        </w:rPr>
        <w:t>5</w:t>
      </w:r>
      <w:r>
        <w:rPr>
          <w:rFonts w:hint="eastAsia"/>
          <w:sz w:val="28"/>
          <w:szCs w:val="36"/>
        </w:rPr>
        <w:fldChar w:fldCharType="end"/>
      </w:r>
      <w:r>
        <w:rPr>
          <w:rFonts w:hint="eastAsia"/>
          <w:sz w:val="28"/>
          <w:szCs w:val="36"/>
        </w:rPr>
        <w:fldChar w:fldCharType="end"/>
      </w:r>
    </w:p>
    <w:p w14:paraId="4F355D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"_Toc179553569" </w:instrText>
      </w:r>
      <w:r>
        <w:fldChar w:fldCharType="separate"/>
      </w:r>
      <w:r>
        <w:rPr>
          <w:rStyle w:val="69"/>
          <w:rFonts w:hint="eastAsia" w:ascii="宋体" w:hAnsi="宋体" w:cs="宋体"/>
          <w:b/>
          <w:bCs/>
          <w:kern w:val="0"/>
          <w:sz w:val="28"/>
          <w:szCs w:val="36"/>
        </w:rPr>
        <w:t>第三章  评标方法及标准</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_Toc179553569 \h</w:instrText>
      </w:r>
      <w:r>
        <w:rPr>
          <w:rFonts w:hint="eastAsia"/>
          <w:sz w:val="28"/>
          <w:szCs w:val="36"/>
        </w:rPr>
        <w:instrText xml:space="preserve"> </w:instrText>
      </w:r>
      <w:r>
        <w:rPr>
          <w:rFonts w:hint="eastAsia"/>
          <w:sz w:val="28"/>
          <w:szCs w:val="36"/>
        </w:rPr>
        <w:fldChar w:fldCharType="separate"/>
      </w:r>
      <w:r>
        <w:rPr>
          <w:sz w:val="28"/>
          <w:szCs w:val="36"/>
        </w:rPr>
        <w:t>13</w:t>
      </w:r>
      <w:r>
        <w:rPr>
          <w:rFonts w:hint="eastAsia"/>
          <w:sz w:val="28"/>
          <w:szCs w:val="36"/>
        </w:rPr>
        <w:fldChar w:fldCharType="end"/>
      </w:r>
      <w:r>
        <w:rPr>
          <w:rFonts w:hint="eastAsia"/>
          <w:sz w:val="28"/>
          <w:szCs w:val="36"/>
        </w:rPr>
        <w:fldChar w:fldCharType="end"/>
      </w:r>
    </w:p>
    <w:p w14:paraId="4D4DD3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"_Toc179553570" </w:instrText>
      </w:r>
      <w:r>
        <w:fldChar w:fldCharType="separate"/>
      </w:r>
      <w:r>
        <w:rPr>
          <w:rStyle w:val="69"/>
          <w:rFonts w:hint="eastAsia" w:ascii="宋体" w:hAnsi="宋体" w:cs="宋体"/>
          <w:b/>
          <w:bCs/>
          <w:kern w:val="0"/>
          <w:sz w:val="28"/>
          <w:szCs w:val="36"/>
        </w:rPr>
        <w:t>第四章  项目需求</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_Toc179553570 \h</w:instrText>
      </w:r>
      <w:r>
        <w:rPr>
          <w:rFonts w:hint="eastAsia"/>
          <w:sz w:val="28"/>
          <w:szCs w:val="36"/>
        </w:rPr>
        <w:instrText xml:space="preserve"> </w:instrText>
      </w:r>
      <w:r>
        <w:rPr>
          <w:rFonts w:hint="eastAsia"/>
          <w:sz w:val="28"/>
          <w:szCs w:val="36"/>
        </w:rPr>
        <w:fldChar w:fldCharType="separate"/>
      </w:r>
      <w:r>
        <w:rPr>
          <w:sz w:val="28"/>
          <w:szCs w:val="36"/>
        </w:rPr>
        <w:t>15</w:t>
      </w:r>
      <w:r>
        <w:rPr>
          <w:rFonts w:hint="eastAsia"/>
          <w:sz w:val="28"/>
          <w:szCs w:val="36"/>
        </w:rPr>
        <w:fldChar w:fldCharType="end"/>
      </w:r>
      <w:r>
        <w:rPr>
          <w:rFonts w:hint="eastAsia"/>
          <w:sz w:val="28"/>
          <w:szCs w:val="36"/>
        </w:rPr>
        <w:fldChar w:fldCharType="end"/>
      </w:r>
    </w:p>
    <w:p w14:paraId="3DB4B23F">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"_Toc179553571" </w:instrText>
      </w:r>
      <w:r>
        <w:fldChar w:fldCharType="separate"/>
      </w:r>
      <w:r>
        <w:rPr>
          <w:rStyle w:val="69"/>
          <w:rFonts w:hint="eastAsia" w:ascii="宋体" w:hAnsi="宋体" w:cs="宋体"/>
          <w:b/>
          <w:bCs/>
          <w:kern w:val="0"/>
          <w:sz w:val="28"/>
          <w:szCs w:val="36"/>
        </w:rPr>
        <w:t>第五章  合同条款及格式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_Toc179553571 \h</w:instrText>
      </w:r>
      <w:r>
        <w:rPr>
          <w:rFonts w:hint="eastAsia"/>
          <w:sz w:val="28"/>
          <w:szCs w:val="36"/>
        </w:rPr>
        <w:instrText xml:space="preserve"> </w:instrText>
      </w:r>
      <w:r>
        <w:rPr>
          <w:rFonts w:hint="eastAsia"/>
          <w:sz w:val="28"/>
          <w:szCs w:val="36"/>
        </w:rPr>
        <w:fldChar w:fldCharType="separate"/>
      </w:r>
      <w:r>
        <w:rPr>
          <w:sz w:val="28"/>
          <w:szCs w:val="36"/>
        </w:rPr>
        <w:t>22</w:t>
      </w:r>
      <w:r>
        <w:rPr>
          <w:rFonts w:hint="eastAsia"/>
          <w:sz w:val="28"/>
          <w:szCs w:val="36"/>
        </w:rPr>
        <w:fldChar w:fldCharType="end"/>
      </w:r>
      <w:r>
        <w:rPr>
          <w:rFonts w:hint="eastAsia"/>
          <w:sz w:val="28"/>
          <w:szCs w:val="36"/>
        </w:rPr>
        <w:fldChar w:fldCharType="end"/>
      </w:r>
    </w:p>
    <w:p w14:paraId="5826F6D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"_Toc179553572" </w:instrText>
      </w:r>
      <w:r>
        <w:fldChar w:fldCharType="separate"/>
      </w:r>
      <w:r>
        <w:rPr>
          <w:rStyle w:val="69"/>
          <w:rFonts w:hint="eastAsia" w:ascii="宋体" w:hAnsi="宋体" w:cs="宋体"/>
          <w:b/>
          <w:bCs/>
          <w:kern w:val="0"/>
          <w:sz w:val="28"/>
          <w:szCs w:val="36"/>
        </w:rPr>
        <w:t>第六章  投标文件格式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_Toc179553572 \h</w:instrText>
      </w:r>
      <w:r>
        <w:rPr>
          <w:rFonts w:hint="eastAsia"/>
          <w:sz w:val="28"/>
          <w:szCs w:val="36"/>
        </w:rPr>
        <w:instrText xml:space="preserve"> </w:instrText>
      </w:r>
      <w:r>
        <w:rPr>
          <w:rFonts w:hint="eastAsia"/>
          <w:sz w:val="28"/>
          <w:szCs w:val="36"/>
        </w:rPr>
        <w:fldChar w:fldCharType="separate"/>
      </w:r>
      <w:r>
        <w:rPr>
          <w:sz w:val="28"/>
          <w:szCs w:val="36"/>
        </w:rPr>
        <w:t>27</w:t>
      </w:r>
      <w:r>
        <w:rPr>
          <w:rFonts w:hint="eastAsia"/>
          <w:sz w:val="28"/>
          <w:szCs w:val="36"/>
        </w:rPr>
        <w:fldChar w:fldCharType="end"/>
      </w:r>
      <w:r>
        <w:rPr>
          <w:rFonts w:hint="eastAsia"/>
          <w:sz w:val="28"/>
          <w:szCs w:val="36"/>
        </w:rPr>
        <w:fldChar w:fldCharType="end"/>
      </w:r>
    </w:p>
    <w:p w14:paraId="2DD5F1A2">
      <w:pPr>
        <w:tabs>
          <w:tab w:val="right" w:leader="dot" w:pos="9736"/>
        </w:tabs>
        <w:spacing w:line="360" w:lineRule="auto"/>
        <w:rPr>
          <w:rFonts w:hint="eastAsia" w:ascii="宋体" w:hAnsi="宋体" w:eastAsia="宋体" w:cs="Times New Roman"/>
          <w:sz w:val="40"/>
          <w:szCs w:val="40"/>
        </w:rPr>
      </w:pPr>
      <w:r>
        <w:rPr>
          <w:rFonts w:hint="eastAsia" w:ascii="宋体" w:hAnsi="宋体" w:eastAsia="宋体" w:cs="Times New Roman"/>
          <w:b/>
          <w:bCs/>
          <w:sz w:val="280"/>
          <w:szCs w:val="280"/>
          <w:lang w:val="zh-CN"/>
        </w:rPr>
        <w:fldChar w:fldCharType="end"/>
      </w:r>
    </w:p>
    <w:p w14:paraId="7BD8809C">
      <w:pPr>
        <w:keepNext/>
        <w:keepLines/>
        <w:pageBreakBefore/>
        <w:adjustRightInd w:val="0"/>
        <w:snapToGrid w:val="0"/>
        <w:spacing w:before="340" w:after="330"/>
        <w:jc w:val="center"/>
        <w:outlineLvl w:val="0"/>
        <w:rPr>
          <w:rFonts w:hint="eastAsia" w:ascii="黑体" w:hAnsi="楷体_GB2312" w:eastAsia="黑体" w:cs="宋体"/>
          <w:kern w:val="0"/>
          <w:sz w:val="32"/>
          <w:szCs w:val="20"/>
        </w:rPr>
        <w:sectPr>
          <w:headerReference r:id="rId4" w:type="first"/>
          <w:footerReference r:id="rId7" w:type="first"/>
          <w:footerReference r:id="rId5" w:type="default"/>
          <w:headerReference r:id="rId3" w:type="even"/>
          <w:footerReference r:id="rId6" w:type="even"/>
          <w:pgSz w:w="11906" w:h="16838"/>
          <w:pgMar w:top="1440" w:right="1803" w:bottom="1440" w:left="1803" w:header="851" w:footer="992" w:gutter="0"/>
          <w:pgNumType w:start="0"/>
          <w:cols w:space="720" w:num="1"/>
          <w:titlePg/>
          <w:docGrid w:linePitch="312" w:charSpace="0"/>
        </w:sectPr>
      </w:pPr>
    </w:p>
    <w:p w14:paraId="37C44290">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0" w:name="_Toc179553567"/>
      <w:r>
        <w:rPr>
          <w:rFonts w:hint="eastAsia" w:ascii="宋体" w:hAnsi="宋体" w:eastAsia="宋体" w:cs="宋体"/>
          <w:b/>
          <w:bCs/>
          <w:kern w:val="0"/>
          <w:sz w:val="36"/>
          <w:szCs w:val="21"/>
        </w:rPr>
        <w:t xml:space="preserve">第一章 </w:t>
      </w:r>
      <w:bookmarkStart w:id="1" w:name="_Hlk134105991"/>
      <w:r>
        <w:rPr>
          <w:rFonts w:hint="eastAsia" w:ascii="宋体" w:hAnsi="宋体" w:eastAsia="宋体" w:cs="宋体"/>
          <w:b/>
          <w:bCs/>
          <w:kern w:val="0"/>
          <w:sz w:val="36"/>
          <w:szCs w:val="21"/>
        </w:rPr>
        <w:t xml:space="preserve"> 竞争性磋商公告</w:t>
      </w:r>
      <w:bookmarkEnd w:id="0"/>
    </w:p>
    <w:p w14:paraId="7F3A58B6">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金审学院楼宇校园光网增补扩建项目已由项目审批</w:t>
      </w:r>
      <w:r>
        <w:rPr>
          <w:rFonts w:ascii="宋体" w:hAnsi="宋体" w:eastAsia="宋体" w:cs="Times New Roman"/>
          <w:sz w:val="24"/>
          <w:lang w:val="zh-CN"/>
        </w:rPr>
        <w:t>/核准/备案机关批准，项目资金来源为自筹资金，</w:t>
      </w:r>
      <w:r>
        <w:rPr>
          <w:rFonts w:hint="eastAsia" w:ascii="宋体" w:hAnsi="宋体" w:eastAsia="宋体" w:cs="Times New Roman"/>
          <w:sz w:val="24"/>
          <w:lang w:val="zh-CN"/>
        </w:rPr>
        <w:t>采购</w:t>
      </w:r>
      <w:r>
        <w:rPr>
          <w:rFonts w:ascii="宋体" w:hAnsi="宋体" w:eastAsia="宋体" w:cs="Times New Roman"/>
          <w:sz w:val="24"/>
          <w:lang w:val="zh-CN"/>
        </w:rPr>
        <w:t>人为南京审计大学金审学院。</w:t>
      </w:r>
    </w:p>
    <w:p w14:paraId="7C6A4C7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本项目已具备招标条件，现采购方式为竞争性磋商。</w:t>
      </w:r>
    </w:p>
    <w:p w14:paraId="1504E905">
      <w:pPr>
        <w:spacing w:line="360" w:lineRule="auto"/>
        <w:ind w:firstLine="482" w:firstLineChars="200"/>
        <w:rPr>
          <w:rFonts w:hint="eastAsia" w:ascii="宋体" w:hAnsi="宋体" w:eastAsia="宋体" w:cs="Times New Roman"/>
          <w:b/>
          <w:bCs/>
          <w:sz w:val="24"/>
          <w:u w:val="single"/>
        </w:rPr>
      </w:pPr>
      <w:r>
        <w:rPr>
          <w:rFonts w:hint="eastAsia" w:ascii="宋体" w:hAnsi="宋体" w:eastAsia="宋体" w:cs="Times New Roman"/>
          <w:b/>
          <w:bCs/>
          <w:sz w:val="24"/>
          <w:lang w:val="zh-CN"/>
        </w:rPr>
        <w:t>一、项目概况和招标范围</w:t>
      </w:r>
    </w:p>
    <w:p w14:paraId="786C32A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项目名称：金审学院楼宇校园光网增补扩建项目</w:t>
      </w:r>
    </w:p>
    <w:p w14:paraId="13DD954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招标内容：为了配套1#宿舍、6#宿舍、一站式服务中心、教学C西、C北、行政楼、8号宿舍改教室、快递驿站、商业街等项目的实施，需要进行无线网络的安装和线路的敷设，具体要求详见第四章项目需求。</w:t>
      </w:r>
    </w:p>
    <w:p w14:paraId="3609542E">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最高限价：3</w:t>
      </w:r>
      <w:r>
        <w:rPr>
          <w:rFonts w:hint="eastAsia" w:ascii="宋体" w:hAnsi="宋体" w:eastAsia="宋体" w:cs="Times New Roman"/>
          <w:sz w:val="24"/>
        </w:rPr>
        <w:t>3万</w:t>
      </w:r>
      <w:r>
        <w:rPr>
          <w:rFonts w:hint="eastAsia" w:ascii="宋体" w:hAnsi="宋体" w:eastAsia="宋体" w:cs="Times New Roman"/>
          <w:sz w:val="24"/>
          <w:lang w:val="zh-CN"/>
        </w:rPr>
        <w:t>元</w:t>
      </w:r>
    </w:p>
    <w:p w14:paraId="1EEF469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交货期：按照采购人的项目进度，分批次施工，每一批次施工工期为20天。</w:t>
      </w:r>
    </w:p>
    <w:p w14:paraId="5C7425E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采购方式：竞争性磋商</w:t>
      </w:r>
    </w:p>
    <w:p w14:paraId="6EDF3CAD">
      <w:pPr>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二、投标人资格要求</w:t>
      </w:r>
    </w:p>
    <w:p w14:paraId="05279B4F">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 xml:space="preserve">1、具有独立承担民事责任的能力（提供法人或者其他组织的营业执照；投标人为自然人的提供其身份证）； </w:t>
      </w:r>
    </w:p>
    <w:p w14:paraId="0429FA3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w:t>
      </w:r>
      <w:r>
        <w:rPr>
          <w:rFonts w:ascii="宋体" w:hAnsi="宋体" w:eastAsia="宋体" w:cs="Times New Roman"/>
          <w:sz w:val="24"/>
        </w:rPr>
        <w:t>、具有良好的商业信誉和健全的财务会计制度（提供202</w:t>
      </w:r>
      <w:r>
        <w:rPr>
          <w:rFonts w:hint="eastAsia" w:ascii="宋体" w:hAnsi="宋体" w:eastAsia="宋体" w:cs="Times New Roman"/>
          <w:sz w:val="24"/>
        </w:rPr>
        <w:t>3</w:t>
      </w:r>
      <w:r>
        <w:rPr>
          <w:rFonts w:ascii="宋体" w:hAnsi="宋体" w:eastAsia="宋体" w:cs="Times New Roman"/>
          <w:sz w:val="24"/>
        </w:rPr>
        <w:t>年度经审计的财务报表，或招标截止时间前六个月内银行出具的资信证明）；</w:t>
      </w:r>
    </w:p>
    <w:p w14:paraId="59717423">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、具有履行合同所必需的设备和专业技术能力（投标人根据履行招标项目合同需要，提供履行合同所必需的设备和专业技术能力的证明材料）；</w:t>
      </w:r>
    </w:p>
    <w:p w14:paraId="7081403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、有依法缴纳税收和社会保障资金的良好记录（提供提交投标文件截止时间前半年内至少一个月依法缴纳税收及缴纳社会保障资金的证明材料。投标人依法享受缓缴、免缴税收、社会保障资金的提供证明材料）；</w:t>
      </w:r>
    </w:p>
    <w:p w14:paraId="2989BEE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w:t>
      </w:r>
      <w:r>
        <w:rPr>
          <w:rFonts w:ascii="宋体" w:hAnsi="宋体" w:eastAsia="宋体" w:cs="Times New Roman"/>
          <w:sz w:val="24"/>
        </w:rPr>
        <w:t>、参加招标活动前三年内，在经营活动中没有重大违法记录（提供承诺书）；</w:t>
      </w:r>
    </w:p>
    <w:p w14:paraId="246E3316">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w:t>
      </w:r>
      <w:r>
        <w:rPr>
          <w:rFonts w:ascii="宋体" w:hAnsi="宋体" w:eastAsia="宋体" w:cs="Times New Roman"/>
          <w:sz w:val="24"/>
        </w:rPr>
        <w:t>、法律、行政法规规定的其他条件。</w:t>
      </w:r>
    </w:p>
    <w:p w14:paraId="32AA942E">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w:t>
      </w:r>
      <w:r>
        <w:rPr>
          <w:rFonts w:ascii="宋体" w:hAnsi="宋体" w:eastAsia="宋体" w:cs="Times New Roman"/>
          <w:sz w:val="24"/>
        </w:rPr>
        <w:t>、本项目不接受联合体投标。</w:t>
      </w:r>
    </w:p>
    <w:p w14:paraId="5503839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本项目</w:t>
      </w:r>
      <w:r>
        <w:rPr>
          <w:rFonts w:ascii="宋体" w:hAnsi="宋体" w:eastAsia="宋体" w:cs="Times New Roman"/>
          <w:sz w:val="24"/>
        </w:rPr>
        <w:t>拒绝下述</w:t>
      </w:r>
      <w:r>
        <w:rPr>
          <w:rFonts w:hint="eastAsia" w:ascii="宋体" w:hAnsi="宋体" w:eastAsia="宋体" w:cs="Times New Roman"/>
          <w:sz w:val="24"/>
        </w:rPr>
        <w:t>投标人</w:t>
      </w:r>
      <w:r>
        <w:rPr>
          <w:rFonts w:ascii="宋体" w:hAnsi="宋体" w:eastAsia="宋体" w:cs="Times New Roman"/>
          <w:sz w:val="24"/>
        </w:rPr>
        <w:t>参加本次</w:t>
      </w:r>
      <w:r>
        <w:rPr>
          <w:rFonts w:hint="eastAsia" w:ascii="宋体" w:hAnsi="宋体" w:eastAsia="宋体" w:cs="Times New Roman"/>
          <w:sz w:val="24"/>
        </w:rPr>
        <w:t>采购</w:t>
      </w:r>
      <w:r>
        <w:rPr>
          <w:rFonts w:ascii="宋体" w:hAnsi="宋体" w:eastAsia="宋体" w:cs="Times New Roman"/>
          <w:sz w:val="24"/>
        </w:rPr>
        <w:t>活动：</w:t>
      </w:r>
    </w:p>
    <w:p w14:paraId="02DC6B17">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投标人</w:t>
      </w:r>
      <w:r>
        <w:rPr>
          <w:rFonts w:ascii="宋体" w:hAnsi="宋体" w:eastAsia="宋体" w:cs="Times New Roman"/>
          <w:sz w:val="24"/>
        </w:rPr>
        <w:t>单位负责人为同一人或者存在直接控股、管理关系的不同</w:t>
      </w:r>
      <w:r>
        <w:rPr>
          <w:rFonts w:hint="eastAsia" w:ascii="宋体" w:hAnsi="宋体" w:eastAsia="宋体" w:cs="Times New Roman"/>
          <w:sz w:val="24"/>
        </w:rPr>
        <w:t>投标人</w:t>
      </w:r>
      <w:r>
        <w:rPr>
          <w:rFonts w:ascii="宋体" w:hAnsi="宋体" w:eastAsia="宋体" w:cs="Times New Roman"/>
          <w:sz w:val="24"/>
        </w:rPr>
        <w:t>，不得参加同一标包应答或者未划分标包的同一采购项目应答。</w:t>
      </w:r>
    </w:p>
    <w:p w14:paraId="5D04F10C">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(2）投标人</w:t>
      </w:r>
      <w:r>
        <w:rPr>
          <w:rFonts w:hint="eastAsia" w:ascii="宋体" w:hAnsi="宋体" w:eastAsia="宋体" w:cs="Times New Roman"/>
          <w:sz w:val="24"/>
        </w:rPr>
        <w:t>在</w:t>
      </w:r>
      <w:r>
        <w:rPr>
          <w:rFonts w:ascii="宋体" w:hAnsi="宋体" w:eastAsia="宋体" w:cs="Times New Roman"/>
          <w:sz w:val="24"/>
        </w:rPr>
        <w:t>“信用中国”网站</w:t>
      </w:r>
      <w:r>
        <w:rPr>
          <w:rFonts w:hint="eastAsia" w:ascii="宋体" w:hAnsi="宋体" w:eastAsia="宋体" w:cs="Times New Roman"/>
          <w:sz w:val="24"/>
        </w:rPr>
        <w:t>（</w:t>
      </w:r>
      <w:r>
        <w:rPr>
          <w:rFonts w:ascii="宋体" w:hAnsi="宋体" w:eastAsia="宋体" w:cs="Times New Roman"/>
          <w:sz w:val="24"/>
        </w:rPr>
        <w:t>http://www.creditchina.gov.cn/）</w:t>
      </w:r>
      <w:r>
        <w:rPr>
          <w:rFonts w:hint="eastAsia" w:ascii="宋体" w:hAnsi="宋体" w:eastAsia="宋体" w:cs="Times New Roman"/>
          <w:sz w:val="24"/>
        </w:rPr>
        <w:t>中被</w:t>
      </w:r>
      <w:r>
        <w:rPr>
          <w:rFonts w:ascii="宋体" w:hAnsi="宋体" w:eastAsia="宋体" w:cs="Times New Roman"/>
          <w:sz w:val="24"/>
        </w:rPr>
        <w:t>列入失信被执行人</w:t>
      </w:r>
      <w:r>
        <w:rPr>
          <w:rFonts w:hint="eastAsia" w:ascii="宋体" w:hAnsi="宋体" w:eastAsia="宋体" w:cs="Times New Roman"/>
          <w:sz w:val="24"/>
        </w:rPr>
        <w:t>名单，不得参加投标。</w:t>
      </w:r>
    </w:p>
    <w:p w14:paraId="21A05333">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三、磋商文件的获取</w:t>
      </w:r>
    </w:p>
    <w:p w14:paraId="1EA47CFB">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1、获取时间：从 202</w:t>
      </w:r>
      <w:r>
        <w:rPr>
          <w:rFonts w:hint="eastAsia" w:ascii="宋体" w:hAnsi="宋体" w:eastAsia="宋体" w:cs="Times New Roman"/>
          <w:sz w:val="24"/>
          <w:lang w:val="zh-CN"/>
        </w:rPr>
        <w:t>4</w:t>
      </w:r>
      <w:r>
        <w:rPr>
          <w:rFonts w:ascii="宋体" w:hAnsi="宋体" w:eastAsia="宋体" w:cs="Times New Roman"/>
          <w:sz w:val="24"/>
          <w:lang w:val="zh-CN"/>
        </w:rPr>
        <w:t>年</w:t>
      </w:r>
      <w:r>
        <w:rPr>
          <w:rFonts w:hint="eastAsia" w:ascii="宋体" w:hAnsi="宋体" w:eastAsia="宋体" w:cs="Times New Roman"/>
          <w:sz w:val="24"/>
          <w:lang w:val="zh-CN"/>
        </w:rPr>
        <w:t>10</w:t>
      </w:r>
      <w:r>
        <w:rPr>
          <w:rFonts w:ascii="宋体" w:hAnsi="宋体" w:eastAsia="宋体" w:cs="Times New Roman"/>
          <w:sz w:val="24"/>
          <w:lang w:val="zh-CN"/>
        </w:rPr>
        <w:t>月</w:t>
      </w:r>
      <w:r>
        <w:rPr>
          <w:rFonts w:hint="eastAsia" w:ascii="宋体" w:hAnsi="宋体" w:eastAsia="宋体" w:cs="Times New Roman"/>
          <w:sz w:val="24"/>
          <w:lang w:val="zh-CN"/>
        </w:rPr>
        <w:t>29</w:t>
      </w:r>
      <w:r>
        <w:rPr>
          <w:rFonts w:ascii="宋体" w:hAnsi="宋体" w:eastAsia="宋体" w:cs="Times New Roman"/>
          <w:sz w:val="24"/>
          <w:lang w:val="zh-CN"/>
        </w:rPr>
        <w:t>日09时00分到202</w:t>
      </w:r>
      <w:r>
        <w:rPr>
          <w:rFonts w:hint="eastAsia" w:ascii="宋体" w:hAnsi="宋体" w:eastAsia="宋体" w:cs="Times New Roman"/>
          <w:sz w:val="24"/>
          <w:lang w:val="zh-CN"/>
        </w:rPr>
        <w:t>4</w:t>
      </w:r>
      <w:r>
        <w:rPr>
          <w:rFonts w:ascii="宋体" w:hAnsi="宋体" w:eastAsia="宋体" w:cs="Times New Roman"/>
          <w:sz w:val="24"/>
          <w:lang w:val="zh-CN"/>
        </w:rPr>
        <w:t>年</w:t>
      </w:r>
      <w:r>
        <w:rPr>
          <w:rFonts w:hint="eastAsia" w:ascii="宋体" w:hAnsi="宋体" w:eastAsia="宋体" w:cs="Times New Roman"/>
          <w:sz w:val="24"/>
          <w:lang w:val="zh-CN"/>
        </w:rPr>
        <w:t>11</w:t>
      </w:r>
      <w:r>
        <w:rPr>
          <w:rFonts w:ascii="宋体" w:hAnsi="宋体" w:eastAsia="宋体" w:cs="Times New Roman"/>
          <w:sz w:val="24"/>
          <w:lang w:val="zh-CN"/>
        </w:rPr>
        <w:t>月</w:t>
      </w:r>
      <w:r>
        <w:rPr>
          <w:rFonts w:hint="eastAsia" w:ascii="宋体" w:hAnsi="宋体" w:eastAsia="宋体" w:cs="Times New Roman"/>
          <w:sz w:val="24"/>
          <w:lang w:val="zh-CN"/>
        </w:rPr>
        <w:t>4</w:t>
      </w:r>
      <w:r>
        <w:rPr>
          <w:rFonts w:ascii="宋体" w:hAnsi="宋体" w:eastAsia="宋体" w:cs="Times New Roman"/>
          <w:sz w:val="24"/>
          <w:lang w:val="zh-CN"/>
        </w:rPr>
        <w:t>日17时00分；</w:t>
      </w:r>
    </w:p>
    <w:p w14:paraId="275B7E87">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2、报名资料：包括委托人将单位介绍信或法人授权委托书、领取文件登记表（详见附件）、文件费转账截图发送至邮箱。本项目只接受网上报名，受理报名邮箱为zbb_naujsc@163.com，报名联系人：张老师025-85780003</w:t>
      </w:r>
    </w:p>
    <w:p w14:paraId="7C11D69C">
      <w:pPr>
        <w:wordWrap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3、招标文件费</w:t>
      </w:r>
      <w:r>
        <w:rPr>
          <w:rFonts w:hint="eastAsia" w:ascii="宋体" w:hAnsi="宋体" w:eastAsia="宋体" w:cs="Times New Roman"/>
          <w:sz w:val="24"/>
          <w:lang w:val="zh-CN"/>
        </w:rPr>
        <w:t>5</w:t>
      </w:r>
      <w:r>
        <w:rPr>
          <w:rFonts w:ascii="宋体" w:hAnsi="宋体" w:eastAsia="宋体" w:cs="Times New Roman"/>
          <w:sz w:val="24"/>
          <w:lang w:val="zh-CN"/>
        </w:rPr>
        <w:t>00元，售后不退。文件费电汇至如下账户：南京审计大学金审学院，开户银行名称：</w:t>
      </w:r>
      <w:r>
        <w:rPr>
          <w:rFonts w:hint="eastAsia" w:ascii="宋体" w:hAnsi="宋体" w:eastAsia="宋体" w:cs="Times New Roman"/>
          <w:sz w:val="24"/>
          <w:lang w:val="zh-CN"/>
        </w:rPr>
        <w:t>工商银行紫东支行</w:t>
      </w:r>
      <w:r>
        <w:rPr>
          <w:rFonts w:ascii="宋体" w:hAnsi="宋体" w:eastAsia="宋体" w:cs="Times New Roman"/>
          <w:sz w:val="24"/>
          <w:lang w:val="zh-CN"/>
        </w:rPr>
        <w:t>，开户银行账号：</w:t>
      </w:r>
      <w:r>
        <w:rPr>
          <w:rFonts w:hint="eastAsia" w:ascii="宋体" w:hAnsi="宋体" w:eastAsia="宋体" w:cs="Times New Roman"/>
          <w:sz w:val="24"/>
          <w:lang w:val="zh-CN"/>
        </w:rPr>
        <w:t>4301018619100066683</w:t>
      </w:r>
      <w:r>
        <w:rPr>
          <w:rFonts w:ascii="宋体" w:hAnsi="宋体" w:eastAsia="宋体" w:cs="Times New Roman"/>
          <w:sz w:val="24"/>
          <w:lang w:val="zh-CN"/>
        </w:rPr>
        <w:t>，汇款请注明投标项目名称：金审</w:t>
      </w:r>
      <w:r>
        <w:rPr>
          <w:rFonts w:hint="eastAsia" w:ascii="宋体" w:hAnsi="宋体" w:eastAsia="宋体" w:cs="Times New Roman"/>
          <w:sz w:val="24"/>
          <w:lang w:val="zh-CN"/>
        </w:rPr>
        <w:t>光网扩建</w:t>
      </w:r>
      <w:r>
        <w:rPr>
          <w:rFonts w:ascii="宋体" w:hAnsi="宋体" w:eastAsia="宋体" w:cs="Times New Roman"/>
          <w:sz w:val="24"/>
          <w:lang w:val="zh-CN"/>
        </w:rPr>
        <w:t>项目。</w:t>
      </w:r>
    </w:p>
    <w:p w14:paraId="53630925">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四、投标文件的递交</w:t>
      </w:r>
    </w:p>
    <w:p w14:paraId="1962AEA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1、响应文件提交开始时间：2024年11月8日9时00分。</w:t>
      </w:r>
    </w:p>
    <w:p w14:paraId="79D21653">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2、响应文件提交截止时间：2024年11月8日9时30分。</w:t>
      </w:r>
    </w:p>
    <w:p w14:paraId="0BAF651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3、响应文件提交地点：南京市栖霞区仙林大道100号图书馆北五楼会议室（如修改开标地点，招标人另行通知）。</w:t>
      </w:r>
    </w:p>
    <w:p w14:paraId="62C4FAD7">
      <w:pPr>
        <w:autoSpaceDE w:val="0"/>
        <w:autoSpaceDN w:val="0"/>
        <w:adjustRightInd w:val="0"/>
        <w:spacing w:line="360" w:lineRule="auto"/>
        <w:ind w:firstLine="480" w:firstLineChars="200"/>
        <w:rPr>
          <w:rFonts w:hint="eastAsia" w:ascii="宋体" w:hAnsi="宋体" w:eastAsia="宋体" w:cs="Times New Roman"/>
          <w:b/>
          <w:bCs/>
          <w:sz w:val="24"/>
        </w:rPr>
      </w:pPr>
      <w:r>
        <w:rPr>
          <w:rFonts w:hint="eastAsia" w:ascii="宋体" w:hAnsi="宋体" w:eastAsia="宋体" w:cs="Times New Roman"/>
          <w:sz w:val="24"/>
        </w:rPr>
        <w:t>4、响应文件份数：纸质版响应文件一式叁份（壹份正本、贰份副本），电子版响应文件壹份[一般应为PDF格式、U盘形式]。当纸质正本文件与副本、电子版文件不一致时，以纸质正本文件为准。电子版文件用于辅助评审和存档，投标人须承担前述不一致造成的不利后果。每份纸质文件须清楚标明“正本”或“副本”字样。</w:t>
      </w:r>
      <w:r>
        <w:rPr>
          <w:rFonts w:hint="eastAsia" w:ascii="宋体" w:hAnsi="宋体" w:eastAsia="宋体" w:cs="Times New Roman"/>
          <w:b/>
          <w:bCs/>
          <w:sz w:val="24"/>
        </w:rPr>
        <w:t>五、开标时间及地点</w:t>
      </w:r>
    </w:p>
    <w:p w14:paraId="39D7F6C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开标时间：</w:t>
      </w:r>
      <w:r>
        <w:rPr>
          <w:rFonts w:ascii="宋体" w:hAnsi="宋体" w:eastAsia="宋体" w:cs="Times New Roman"/>
          <w:sz w:val="24"/>
        </w:rPr>
        <w:t>202</w:t>
      </w:r>
      <w:r>
        <w:rPr>
          <w:rFonts w:hint="eastAsia" w:ascii="宋体" w:hAnsi="宋体" w:eastAsia="宋体" w:cs="Times New Roman"/>
          <w:sz w:val="24"/>
        </w:rPr>
        <w:t>4</w:t>
      </w:r>
      <w:r>
        <w:rPr>
          <w:rFonts w:ascii="宋体" w:hAnsi="宋体" w:eastAsia="宋体" w:cs="Times New Roman"/>
          <w:sz w:val="24"/>
        </w:rPr>
        <w:t>年</w:t>
      </w:r>
      <w:r>
        <w:rPr>
          <w:rFonts w:hint="eastAsia" w:ascii="宋体" w:hAnsi="宋体" w:eastAsia="宋体" w:cs="Times New Roman"/>
          <w:sz w:val="24"/>
        </w:rPr>
        <w:t>11</w:t>
      </w:r>
      <w:r>
        <w:rPr>
          <w:rFonts w:ascii="宋体" w:hAnsi="宋体" w:eastAsia="宋体" w:cs="Times New Roman"/>
          <w:sz w:val="24"/>
        </w:rPr>
        <w:t>月</w:t>
      </w:r>
      <w:r>
        <w:rPr>
          <w:rFonts w:hint="eastAsia" w:ascii="宋体" w:hAnsi="宋体" w:eastAsia="宋体" w:cs="Times New Roman"/>
          <w:sz w:val="24"/>
        </w:rPr>
        <w:t>8</w:t>
      </w:r>
      <w:r>
        <w:rPr>
          <w:rFonts w:ascii="宋体" w:hAnsi="宋体" w:eastAsia="宋体" w:cs="Times New Roman"/>
          <w:sz w:val="24"/>
        </w:rPr>
        <w:t>日</w:t>
      </w:r>
      <w:r>
        <w:rPr>
          <w:rFonts w:hint="eastAsia" w:ascii="宋体" w:hAnsi="宋体" w:eastAsia="宋体" w:cs="Times New Roman"/>
          <w:sz w:val="24"/>
        </w:rPr>
        <w:t>9</w:t>
      </w:r>
      <w:r>
        <w:rPr>
          <w:rFonts w:ascii="宋体" w:hAnsi="宋体" w:eastAsia="宋体" w:cs="Times New Roman"/>
          <w:sz w:val="24"/>
        </w:rPr>
        <w:t>时</w:t>
      </w:r>
      <w:r>
        <w:rPr>
          <w:rFonts w:hint="eastAsia" w:ascii="宋体" w:hAnsi="宋体" w:eastAsia="宋体" w:cs="Times New Roman"/>
          <w:sz w:val="24"/>
        </w:rPr>
        <w:t>30</w:t>
      </w:r>
      <w:r>
        <w:rPr>
          <w:rFonts w:ascii="宋体" w:hAnsi="宋体" w:eastAsia="宋体" w:cs="Times New Roman"/>
          <w:sz w:val="24"/>
        </w:rPr>
        <w:t>分。</w:t>
      </w:r>
    </w:p>
    <w:p w14:paraId="2D220C2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开标地点：南京市栖霞区仙林大道100号图书馆北五楼会议室（如修改开标地点，招标人另行通知）。</w:t>
      </w:r>
    </w:p>
    <w:p w14:paraId="0E380271">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六、其他</w:t>
      </w:r>
    </w:p>
    <w:p w14:paraId="15C26239">
      <w:pPr>
        <w:autoSpaceDE w:val="0"/>
        <w:autoSpaceDN w:val="0"/>
        <w:adjustRightInd w:val="0"/>
        <w:spacing w:line="360" w:lineRule="auto"/>
        <w:ind w:firstLine="480" w:firstLineChars="200"/>
        <w:rPr>
          <w:rFonts w:hint="eastAsia" w:ascii="宋体" w:hAnsi="宋体" w:eastAsia="宋体" w:cs="Times New Roman"/>
          <w:sz w:val="24"/>
        </w:rPr>
      </w:pPr>
      <w:r>
        <w:rPr>
          <w:rFonts w:ascii="宋体" w:hAnsi="宋体" w:eastAsia="宋体" w:cs="Times New Roman"/>
          <w:sz w:val="24"/>
        </w:rPr>
        <w:t>1、本项目采用综合评</w:t>
      </w:r>
      <w:r>
        <w:rPr>
          <w:rFonts w:hint="eastAsia" w:ascii="宋体" w:hAnsi="宋体" w:eastAsia="宋体" w:cs="Times New Roman"/>
          <w:sz w:val="24"/>
        </w:rPr>
        <w:t>分</w:t>
      </w:r>
      <w:r>
        <w:rPr>
          <w:rFonts w:ascii="宋体" w:hAnsi="宋体" w:eastAsia="宋体" w:cs="Times New Roman"/>
          <w:sz w:val="24"/>
        </w:rPr>
        <w:t>法。</w:t>
      </w:r>
    </w:p>
    <w:p w14:paraId="5D3EEEE2">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2、投标人于投标报名截止前自行勘察现场，勘察联系人：李焕 13851532855</w:t>
      </w:r>
    </w:p>
    <w:p w14:paraId="525F4D8F">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七、监督部门</w:t>
      </w:r>
    </w:p>
    <w:p w14:paraId="2D2F51A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本招标项目的监督部门为：</w:t>
      </w:r>
      <w:r>
        <w:rPr>
          <w:rFonts w:ascii="宋体" w:hAnsi="宋体" w:eastAsia="宋体" w:cs="Times New Roman"/>
          <w:sz w:val="24"/>
          <w:lang w:val="zh-CN"/>
        </w:rPr>
        <w:t>/。</w:t>
      </w:r>
    </w:p>
    <w:p w14:paraId="0B5C19F6">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八、联系方式</w:t>
      </w:r>
    </w:p>
    <w:p w14:paraId="675C9EDF">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招</w:t>
      </w:r>
      <w:r>
        <w:rPr>
          <w:rFonts w:ascii="宋体" w:hAnsi="宋体" w:eastAsia="宋体" w:cs="Times New Roman"/>
          <w:sz w:val="24"/>
          <w:lang w:val="zh-CN"/>
        </w:rPr>
        <w:t xml:space="preserve"> 标 人：南京审计大学金审学院</w:t>
      </w:r>
    </w:p>
    <w:p w14:paraId="6747CD2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地</w:t>
      </w:r>
      <w:r>
        <w:rPr>
          <w:rFonts w:ascii="宋体" w:hAnsi="宋体" w:eastAsia="宋体" w:cs="Times New Roman"/>
          <w:sz w:val="24"/>
          <w:lang w:val="zh-CN"/>
        </w:rPr>
        <w:t xml:space="preserve"> 址：南京市栖霞区仙林大道100号</w:t>
      </w:r>
    </w:p>
    <w:p w14:paraId="4896C3A3">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联</w:t>
      </w:r>
      <w:r>
        <w:rPr>
          <w:rFonts w:ascii="宋体" w:hAnsi="宋体" w:eastAsia="宋体" w:cs="Times New Roman"/>
          <w:sz w:val="24"/>
          <w:lang w:val="zh-CN"/>
        </w:rPr>
        <w:t xml:space="preserve"> 系 人：张老师</w:t>
      </w:r>
    </w:p>
    <w:p w14:paraId="5ADC15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电</w:t>
      </w:r>
      <w:r>
        <w:rPr>
          <w:rFonts w:ascii="宋体" w:hAnsi="宋体" w:eastAsia="宋体" w:cs="Times New Roman"/>
          <w:sz w:val="24"/>
          <w:lang w:val="zh-CN"/>
        </w:rPr>
        <w:t xml:space="preserve"> 话：025-85780003 </w:t>
      </w:r>
    </w:p>
    <w:bookmarkEnd w:id="1"/>
    <w:p w14:paraId="48435EBA">
      <w:pPr>
        <w:keepNext/>
        <w:keepLines/>
        <w:pageBreakBefore/>
        <w:adjustRightInd w:val="0"/>
        <w:snapToGrid w:val="0"/>
        <w:spacing w:before="340" w:after="330"/>
        <w:jc w:val="center"/>
        <w:outlineLvl w:val="0"/>
        <w:rPr>
          <w:rFonts w:hint="eastAsia" w:ascii="宋体" w:hAnsi="宋体" w:eastAsia="宋体" w:cs="宋体"/>
          <w:b/>
          <w:bCs/>
          <w:kern w:val="0"/>
          <w:sz w:val="36"/>
          <w:szCs w:val="36"/>
        </w:rPr>
      </w:pPr>
      <w:bookmarkStart w:id="2" w:name="_Toc179553568"/>
      <w:r>
        <w:rPr>
          <w:rFonts w:hint="eastAsia" w:ascii="宋体" w:hAnsi="宋体" w:eastAsia="宋体" w:cs="宋体"/>
          <w:b/>
          <w:bCs/>
          <w:kern w:val="0"/>
          <w:sz w:val="36"/>
          <w:szCs w:val="36"/>
        </w:rPr>
        <w:t>第二章  投标人须知</w:t>
      </w:r>
      <w:bookmarkEnd w:id="2"/>
    </w:p>
    <w:p w14:paraId="5B95CFAC">
      <w:pPr>
        <w:spacing w:line="360" w:lineRule="auto"/>
        <w:ind w:firstLine="424" w:firstLineChars="176"/>
        <w:jc w:val="center"/>
        <w:rPr>
          <w:rFonts w:hint="eastAsia" w:ascii="宋体" w:hAnsi="宋体" w:eastAsia="宋体" w:cs="Times New Roman"/>
          <w:b/>
          <w:sz w:val="24"/>
        </w:rPr>
      </w:pPr>
      <w:r>
        <w:rPr>
          <w:rFonts w:hint="eastAsia" w:ascii="宋体" w:hAnsi="宋体" w:eastAsia="宋体" w:cs="Times New Roman"/>
          <w:b/>
          <w:sz w:val="24"/>
        </w:rPr>
        <w:t>一、总则</w:t>
      </w:r>
    </w:p>
    <w:p w14:paraId="1D4CEBFA">
      <w:pPr>
        <w:adjustRightInd w:val="0"/>
        <w:snapToGri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（一）项目概况</w:t>
      </w:r>
    </w:p>
    <w:p w14:paraId="2B059E47">
      <w:pPr>
        <w:autoSpaceDE w:val="0"/>
        <w:autoSpaceDN w:val="0"/>
        <w:adjustRightInd w:val="0"/>
        <w:spacing w:line="360" w:lineRule="auto"/>
        <w:ind w:firstLine="480" w:firstLineChars="200"/>
        <w:rPr>
          <w:rFonts w:hint="eastAsia" w:ascii="宋体" w:hAnsi="宋体" w:eastAsia="宋体" w:cs="Times New Roman"/>
          <w:bCs/>
          <w:sz w:val="24"/>
        </w:rPr>
      </w:pPr>
      <w:r>
        <w:rPr>
          <w:rFonts w:ascii="宋体" w:hAnsi="宋体" w:eastAsia="宋体" w:cs="Times New Roman"/>
          <w:bCs/>
          <w:sz w:val="24"/>
          <w:lang w:val="zh-CN"/>
        </w:rPr>
        <w:t>1</w:t>
      </w:r>
      <w:r>
        <w:rPr>
          <w:rFonts w:hint="eastAsia" w:ascii="宋体" w:hAnsi="宋体" w:eastAsia="宋体" w:cs="Times New Roman"/>
          <w:bCs/>
          <w:sz w:val="24"/>
          <w:lang w:val="zh-CN"/>
        </w:rPr>
        <w:t>、</w:t>
      </w:r>
      <w:bookmarkStart w:id="3" w:name="_Toc444467296"/>
      <w:r>
        <w:rPr>
          <w:rFonts w:hint="eastAsia" w:ascii="宋体" w:hAnsi="宋体" w:eastAsia="宋体" w:cs="Times New Roman"/>
          <w:bCs/>
          <w:sz w:val="24"/>
          <w:lang w:val="zh-CN"/>
        </w:rPr>
        <w:t>项目名称：</w:t>
      </w:r>
      <w:r>
        <w:rPr>
          <w:rFonts w:hint="eastAsia" w:ascii="宋体" w:hAnsi="宋体" w:eastAsia="宋体" w:cs="Times New Roman"/>
          <w:bCs/>
          <w:sz w:val="24"/>
        </w:rPr>
        <w:t>金审学院楼宇校园光网增补扩建项目</w:t>
      </w:r>
    </w:p>
    <w:p w14:paraId="1195D613">
      <w:pPr>
        <w:spacing w:line="360" w:lineRule="auto"/>
        <w:ind w:firstLine="475" w:firstLineChars="198"/>
        <w:jc w:val="left"/>
        <w:rPr>
          <w:rFonts w:hint="eastAsia" w:ascii="宋体" w:hAnsi="宋体" w:eastAsia="宋体" w:cs="Times New Roman"/>
          <w:bCs/>
          <w:sz w:val="24"/>
        </w:rPr>
      </w:pPr>
      <w:r>
        <w:rPr>
          <w:rFonts w:ascii="宋体" w:hAnsi="宋体" w:eastAsia="宋体" w:cs="Times New Roman"/>
          <w:bCs/>
          <w:sz w:val="24"/>
          <w:lang w:val="zh-CN"/>
        </w:rPr>
        <w:t>2</w:t>
      </w:r>
      <w:r>
        <w:rPr>
          <w:rFonts w:hint="eastAsia" w:ascii="宋体" w:hAnsi="宋体" w:eastAsia="宋体" w:cs="Times New Roman"/>
          <w:bCs/>
          <w:sz w:val="24"/>
          <w:lang w:val="zh-CN"/>
        </w:rPr>
        <w:t>、招标内容：</w:t>
      </w:r>
      <w:r>
        <w:rPr>
          <w:rFonts w:hint="eastAsia" w:ascii="宋体" w:hAnsi="宋体" w:eastAsia="宋体" w:cs="Times New Roman"/>
          <w:bCs/>
          <w:sz w:val="24"/>
        </w:rPr>
        <w:t>金审学院楼宇校园光网增补扩建项目，详见磋商文件第四章项目需求。</w:t>
      </w:r>
    </w:p>
    <w:p w14:paraId="3C4246EF">
      <w:pPr>
        <w:spacing w:line="360" w:lineRule="auto"/>
        <w:ind w:firstLine="480" w:firstLineChars="200"/>
        <w:rPr>
          <w:rFonts w:hint="eastAsia" w:ascii="宋体" w:hAnsi="宋体" w:eastAsia="宋体" w:cs="Times New Roman"/>
          <w:sz w:val="24"/>
        </w:rPr>
      </w:pPr>
      <w:r>
        <w:rPr>
          <w:rFonts w:ascii="宋体" w:hAnsi="宋体" w:eastAsia="宋体" w:cs="Times New Roman"/>
          <w:bCs/>
          <w:sz w:val="24"/>
        </w:rPr>
        <w:t>3</w:t>
      </w:r>
      <w:r>
        <w:rPr>
          <w:rFonts w:hint="eastAsia" w:ascii="宋体" w:hAnsi="宋体" w:eastAsia="宋体" w:cs="Times New Roman"/>
          <w:bCs/>
          <w:sz w:val="24"/>
        </w:rPr>
        <w:t>、交货期：</w:t>
      </w:r>
      <w:r>
        <w:rPr>
          <w:rFonts w:hint="eastAsia" w:ascii="宋体" w:hAnsi="宋体" w:eastAsia="宋体" w:cs="Times New Roman"/>
          <w:sz w:val="24"/>
        </w:rPr>
        <w:t>按照采购人的项目进度，分批次施工，每一批次施工工期为20天。</w:t>
      </w:r>
    </w:p>
    <w:bookmarkEnd w:id="3"/>
    <w:p w14:paraId="55A802D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lang w:val="zh-CN"/>
        </w:rPr>
        <w:t>4</w:t>
      </w:r>
      <w:r>
        <w:rPr>
          <w:rFonts w:hint="eastAsia" w:ascii="宋体" w:hAnsi="宋体" w:eastAsia="宋体" w:cs="Times New Roman"/>
          <w:bCs/>
          <w:sz w:val="24"/>
          <w:lang w:val="zh-CN"/>
        </w:rPr>
        <w:t>、投标人资质要求：</w:t>
      </w:r>
      <w:r>
        <w:rPr>
          <w:rFonts w:hint="eastAsia" w:ascii="宋体" w:hAnsi="宋体" w:eastAsia="宋体" w:cs="Times New Roman"/>
          <w:sz w:val="24"/>
          <w:lang w:val="zh-CN"/>
        </w:rPr>
        <w:t>详见磋商公告。</w:t>
      </w:r>
    </w:p>
    <w:p w14:paraId="29828911">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（二）投标费用</w:t>
      </w:r>
    </w:p>
    <w:p w14:paraId="0FD10E2C">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1、无论投标结果如何，投标人应承担其编制投标文件与递交投标文件所涉及的一切费用。</w:t>
      </w:r>
    </w:p>
    <w:p w14:paraId="62195BE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2、磋商文件售出后不予退还。</w:t>
      </w:r>
    </w:p>
    <w:p w14:paraId="01E8071D">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二、磋商文件</w:t>
      </w:r>
    </w:p>
    <w:p w14:paraId="3D65949D">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（三）磋商文件的组成</w:t>
      </w:r>
    </w:p>
    <w:p w14:paraId="7D0323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1、磋商文件包括本文件及所有发出的修改澄清通知，修改澄清与本文件不一致的，以最后发出的为准。</w:t>
      </w:r>
    </w:p>
    <w:p w14:paraId="7C852FB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w:t>
      </w:r>
      <w:r>
        <w:rPr>
          <w:rFonts w:hint="eastAsia" w:ascii="宋体" w:hAnsi="宋体" w:eastAsia="宋体" w:cs="Times New Roman"/>
          <w:sz w:val="24"/>
        </w:rPr>
        <w:t>投标人</w:t>
      </w:r>
      <w:r>
        <w:rPr>
          <w:rFonts w:hint="eastAsia" w:ascii="宋体" w:hAnsi="宋体" w:eastAsia="宋体" w:cs="Times New Roman"/>
          <w:sz w:val="24"/>
          <w:lang w:val="zh-CN"/>
        </w:rPr>
        <w:t>应认真审阅磋商文件所有的内容，如果</w:t>
      </w:r>
      <w:r>
        <w:rPr>
          <w:rFonts w:hint="eastAsia" w:ascii="宋体" w:hAnsi="宋体" w:eastAsia="宋体" w:cs="Times New Roman"/>
          <w:sz w:val="24"/>
        </w:rPr>
        <w:t>投标人</w:t>
      </w:r>
      <w:r>
        <w:rPr>
          <w:rFonts w:hint="eastAsia" w:ascii="宋体" w:hAnsi="宋体" w:eastAsia="宋体" w:cs="Times New Roman"/>
          <w:sz w:val="24"/>
          <w:lang w:val="zh-CN"/>
        </w:rPr>
        <w:t>的投标文件不能实质性地响应磋商文件要求，责任由</w:t>
      </w:r>
      <w:r>
        <w:rPr>
          <w:rFonts w:hint="eastAsia" w:ascii="宋体" w:hAnsi="宋体" w:eastAsia="宋体" w:cs="Times New Roman"/>
          <w:sz w:val="24"/>
        </w:rPr>
        <w:t>投标人</w:t>
      </w:r>
      <w:r>
        <w:rPr>
          <w:rFonts w:hint="eastAsia" w:ascii="宋体" w:hAnsi="宋体" w:eastAsia="宋体" w:cs="Times New Roman"/>
          <w:sz w:val="24"/>
          <w:lang w:val="zh-CN"/>
        </w:rPr>
        <w:t>自负。</w:t>
      </w:r>
    </w:p>
    <w:p w14:paraId="1C84F87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（四）磋商文件的澄清</w:t>
      </w:r>
    </w:p>
    <w:p w14:paraId="343CDDD9">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w:t>
      </w:r>
      <w:r>
        <w:rPr>
          <w:rFonts w:hint="eastAsia" w:ascii="宋体" w:hAnsi="宋体" w:eastAsia="宋体" w:cs="Times New Roman"/>
          <w:sz w:val="24"/>
          <w:lang w:val="zh-CN"/>
        </w:rPr>
        <w:t>、</w:t>
      </w:r>
      <w:r>
        <w:rPr>
          <w:rFonts w:hint="eastAsia" w:ascii="宋体" w:hAnsi="宋体" w:eastAsia="宋体" w:cs="Times New Roman"/>
          <w:sz w:val="24"/>
        </w:rPr>
        <w:t>投标人</w:t>
      </w:r>
      <w:r>
        <w:rPr>
          <w:rFonts w:hint="eastAsia" w:ascii="宋体" w:hAnsi="宋体" w:eastAsia="宋体" w:cs="Times New Roman"/>
          <w:sz w:val="24"/>
          <w:lang w:val="zh-CN"/>
        </w:rPr>
        <w:t>在收到磋商文件后，若有疑问需要澄清，应于收到磋商文件后</w:t>
      </w:r>
      <w:r>
        <w:rPr>
          <w:rFonts w:hint="eastAsia" w:ascii="宋体" w:hAnsi="宋体" w:eastAsia="宋体" w:cs="Times New Roman"/>
          <w:sz w:val="24"/>
          <w:u w:val="single"/>
        </w:rPr>
        <w:t>2</w:t>
      </w:r>
      <w:r>
        <w:rPr>
          <w:rFonts w:hint="eastAsia" w:ascii="宋体" w:hAnsi="宋体" w:eastAsia="宋体" w:cs="Times New Roman"/>
          <w:sz w:val="24"/>
        </w:rPr>
        <w:t>天</w:t>
      </w:r>
      <w:r>
        <w:rPr>
          <w:rFonts w:hint="eastAsia" w:ascii="宋体" w:hAnsi="宋体" w:eastAsia="宋体" w:cs="Times New Roman"/>
          <w:sz w:val="24"/>
          <w:lang w:val="zh-CN"/>
        </w:rPr>
        <w:t>内以书面形式（包括书面文字、传真、电子邮件等）向</w:t>
      </w:r>
      <w:r>
        <w:rPr>
          <w:rFonts w:hint="eastAsia" w:ascii="宋体" w:hAnsi="宋体" w:eastAsia="宋体" w:cs="Times New Roman"/>
          <w:sz w:val="24"/>
        </w:rPr>
        <w:t>招标人</w:t>
      </w:r>
      <w:r>
        <w:rPr>
          <w:rFonts w:hint="eastAsia" w:ascii="宋体" w:hAnsi="宋体" w:eastAsia="宋体" w:cs="Times New Roman"/>
          <w:sz w:val="24"/>
          <w:lang w:val="zh-CN"/>
        </w:rPr>
        <w:t>提出，</w:t>
      </w:r>
      <w:r>
        <w:rPr>
          <w:rFonts w:hint="eastAsia" w:ascii="宋体" w:hAnsi="宋体" w:eastAsia="宋体" w:cs="Times New Roman"/>
          <w:sz w:val="24"/>
        </w:rPr>
        <w:t>招标人</w:t>
      </w:r>
      <w:r>
        <w:rPr>
          <w:rFonts w:hint="eastAsia" w:ascii="宋体" w:hAnsi="宋体" w:eastAsia="宋体" w:cs="Times New Roman"/>
          <w:sz w:val="24"/>
          <w:lang w:val="zh-CN"/>
        </w:rPr>
        <w:t>将以书面形式予以解答，解答内容将送达所有参与竞争性磋商的</w:t>
      </w:r>
      <w:r>
        <w:rPr>
          <w:rFonts w:hint="eastAsia" w:ascii="宋体" w:hAnsi="宋体" w:eastAsia="宋体" w:cs="Times New Roman"/>
          <w:sz w:val="24"/>
        </w:rPr>
        <w:t>投标人</w:t>
      </w:r>
      <w:r>
        <w:rPr>
          <w:rFonts w:hint="eastAsia" w:ascii="宋体" w:hAnsi="宋体" w:eastAsia="宋体" w:cs="Times New Roman"/>
          <w:sz w:val="24"/>
          <w:lang w:val="zh-CN"/>
        </w:rPr>
        <w:t>。</w:t>
      </w:r>
    </w:p>
    <w:p w14:paraId="1E17A7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（五）磋商文件的修改</w:t>
      </w:r>
    </w:p>
    <w:p w14:paraId="0C90E2C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1、在投标截止日期前，招标人都可能会以书面通知的方式修改磋商文件。修改通知作为磋商文件的组成部分，对投标人起同等约束作用。</w:t>
      </w:r>
    </w:p>
    <w:p w14:paraId="2D586C9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2、为使投标人在编制投标文件时把修改通知内容考虑进去，招标人可以酌情延长递交投标文件的截止日期。具体时间将在修改通知中写明，修改通知将送达每一投标人。</w:t>
      </w:r>
    </w:p>
    <w:p w14:paraId="344AD292">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3、磋商文件、修改通知内容相互矛盾时，以最后发出的通知为准。</w:t>
      </w:r>
    </w:p>
    <w:p w14:paraId="357CEC3A">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三、投标报价</w:t>
      </w:r>
    </w:p>
    <w:p w14:paraId="147F47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（六）投标报价</w:t>
      </w:r>
    </w:p>
    <w:p w14:paraId="71F86881">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投标人自行报价，报价应是本磋商文件所确定的全部工作内容的价格体现。应包括完成此项工作所需的设备费、人工费、材料费、机械费、运输费、安装调试费、其他费、规费、税金、市场价格风险、政策风险等所需有全部有关事项的费用、磋商文件中约定由投标人承担的费用以及投标人认为需要的费用，以上所用费用含在投标总价中。投标人须认真阅读理解磋商文件，特别是有关责任权利规定，按照磋商文件的要求填报投标文件，结算时不得调整。</w:t>
      </w:r>
    </w:p>
    <w:p w14:paraId="61CE094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2、可参考的工程计价表和有关文件。</w:t>
      </w:r>
    </w:p>
    <w:p w14:paraId="38470911">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3、江苏省相关工程计价表。</w:t>
      </w:r>
    </w:p>
    <w:p w14:paraId="183398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4、检查过程中，承包人必须服从发包人的监督检查和质量管理，如因质量问题造成返工，其费用由承包人承担。</w:t>
      </w:r>
    </w:p>
    <w:p w14:paraId="0E7FC94C">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5、检查过程中，承包人与地方发生的任何矛盾均由承包人自行协商解决，招标人不负责也不参与此类协调工作。承包人应将此部分费用考虑在投标报价中，招标人不另行支付。</w:t>
      </w:r>
    </w:p>
    <w:p w14:paraId="575A175D">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6、如果以文字大写表示的数据与数字表示的数据有差别,应以文字大写为准,修正数字。</w:t>
      </w:r>
    </w:p>
    <w:p w14:paraId="363F31D0">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7、承包人要确保施工现场清洁，及时清理废弃物，产生的费用承包人需综合考虑进报价中。</w:t>
      </w:r>
    </w:p>
    <w:p w14:paraId="3166C909">
      <w:pPr>
        <w:autoSpaceDE w:val="0"/>
        <w:autoSpaceDN w:val="0"/>
        <w:adjustRightInd w:val="0"/>
        <w:spacing w:line="360" w:lineRule="auto"/>
        <w:ind w:firstLine="482" w:firstLineChars="200"/>
        <w:jc w:val="center"/>
        <w:rPr>
          <w:rFonts w:hint="eastAsia" w:ascii="宋体" w:hAnsi="宋体" w:eastAsia="宋体" w:cs="Times New Roman"/>
          <w:sz w:val="24"/>
          <w:lang w:val="zh-CN"/>
        </w:rPr>
      </w:pPr>
      <w:r>
        <w:rPr>
          <w:rFonts w:hint="eastAsia" w:ascii="宋体" w:hAnsi="宋体" w:eastAsia="宋体" w:cs="Times New Roman"/>
          <w:b/>
          <w:snapToGrid w:val="0"/>
          <w:color w:val="000000"/>
          <w:sz w:val="24"/>
        </w:rPr>
        <w:t>四、投标文件的编制</w:t>
      </w:r>
    </w:p>
    <w:p w14:paraId="4F3B3B41">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（七）投标文件的组成</w:t>
      </w:r>
    </w:p>
    <w:p w14:paraId="2E5D166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1、投标人应当按照磋商文件要求编制投标文件，投标文件应对磋商文件提出的实质性要求和条件做出响应。</w:t>
      </w:r>
    </w:p>
    <w:p w14:paraId="4431A644">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2、投标文件包括</w:t>
      </w:r>
      <w:r>
        <w:rPr>
          <w:rFonts w:hint="eastAsia" w:ascii="宋体" w:hAnsi="宋体" w:eastAsia="宋体" w:cs="Times New Roman"/>
          <w:b/>
          <w:bCs/>
          <w:sz w:val="24"/>
          <w:lang w:val="zh-CN"/>
        </w:rPr>
        <w:t>正本一份，副本二份，电子文件一份（</w:t>
      </w:r>
      <w:r>
        <w:rPr>
          <w:rFonts w:ascii="宋体" w:hAnsi="宋体" w:eastAsia="宋体" w:cs="Times New Roman"/>
          <w:b/>
          <w:bCs/>
          <w:sz w:val="24"/>
          <w:lang w:val="zh-CN"/>
        </w:rPr>
        <w:t>U盘，PDF格式）</w:t>
      </w:r>
      <w:r>
        <w:rPr>
          <w:rFonts w:ascii="宋体" w:hAnsi="宋体" w:eastAsia="宋体" w:cs="Times New Roman"/>
          <w:sz w:val="24"/>
          <w:lang w:val="zh-CN"/>
        </w:rPr>
        <w:t>投标文件的内容、格式均应遵守本招标文件的规定；</w:t>
      </w:r>
    </w:p>
    <w:p w14:paraId="3FC45CAA">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w:t>
      </w:r>
      <w:r>
        <w:rPr>
          <w:rFonts w:hint="eastAsia" w:ascii="宋体" w:hAnsi="宋体" w:eastAsia="宋体" w:cs="Times New Roman"/>
          <w:sz w:val="24"/>
          <w:lang w:val="zh-CN"/>
        </w:rPr>
        <w:t>、投标人的投标文件格式应包括下列内容：</w:t>
      </w:r>
    </w:p>
    <w:p w14:paraId="6B23B70D">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附件一、投标函</w:t>
      </w:r>
    </w:p>
    <w:p w14:paraId="543270FF">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附件二、分项报价表</w:t>
      </w:r>
    </w:p>
    <w:p w14:paraId="2E25C9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附件三、法定代表人授权委托书</w:t>
      </w:r>
    </w:p>
    <w:p w14:paraId="7AAECA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w:t>
      </w:r>
      <w:r>
        <w:rPr>
          <w:rFonts w:ascii="宋体" w:hAnsi="宋体" w:eastAsia="宋体" w:cs="Times New Roman"/>
          <w:sz w:val="24"/>
          <w:lang w:val="zh-CN"/>
        </w:rPr>
        <w:t xml:space="preserve">   </w:t>
      </w:r>
      <w:r>
        <w:rPr>
          <w:rFonts w:hint="eastAsia" w:ascii="宋体" w:hAnsi="宋体" w:eastAsia="宋体" w:cs="Times New Roman"/>
          <w:sz w:val="24"/>
          <w:lang w:val="zh-CN"/>
        </w:rPr>
        <w:t>附件四、拟投入项目人员汇总表</w:t>
      </w:r>
    </w:p>
    <w:p w14:paraId="1E9A618B">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附件五、近三年类似项目业绩表</w:t>
      </w:r>
    </w:p>
    <w:p w14:paraId="239CE66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附件六、商务条款偏离表</w:t>
      </w:r>
    </w:p>
    <w:p w14:paraId="553F5C73">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附件七、技术条款偏离表</w:t>
      </w:r>
    </w:p>
    <w:p w14:paraId="53D4B44D">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附件八、实施方案、技术方案、售后服务方案</w:t>
      </w:r>
    </w:p>
    <w:p w14:paraId="464E56E6">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附件九、无重大违法记录声明</w:t>
      </w:r>
    </w:p>
    <w:p w14:paraId="466883B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附件十、具备履行合同所必需的设备和专业技术能力的声明</w:t>
      </w:r>
    </w:p>
    <w:p w14:paraId="32917B8A">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附件十一、投标人认为需提供的其他资料</w:t>
      </w:r>
    </w:p>
    <w:p w14:paraId="123D2D3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4</w:t>
      </w:r>
      <w:r>
        <w:rPr>
          <w:rFonts w:hint="eastAsia" w:ascii="宋体" w:hAnsi="宋体" w:eastAsia="宋体" w:cs="Times New Roman"/>
          <w:sz w:val="24"/>
          <w:lang w:val="zh-CN"/>
        </w:rPr>
        <w:t>、投标人应当使用投标文件第五章中所提供的文件格式填写，如不够用时，投标人可按同样格式自行编制和添补。</w:t>
      </w:r>
    </w:p>
    <w:p w14:paraId="4FFD10F1">
      <w:pPr>
        <w:tabs>
          <w:tab w:val="left" w:pos="0"/>
        </w:tabs>
        <w:adjustRightInd w:val="0"/>
        <w:snapToGrid w:val="0"/>
        <w:spacing w:before="120" w:beforeLines="50" w:after="120" w:afterLines="50" w:line="360" w:lineRule="auto"/>
        <w:ind w:firstLine="482" w:firstLineChars="200"/>
        <w:jc w:val="center"/>
        <w:rPr>
          <w:rFonts w:hint="eastAsia" w:ascii="宋体" w:hAnsi="宋体" w:eastAsia="宋体" w:cs="Times New Roman"/>
          <w:b/>
          <w:snapToGrid w:val="0"/>
          <w:color w:val="000000"/>
          <w:sz w:val="24"/>
          <w:szCs w:val="24"/>
        </w:rPr>
      </w:pPr>
      <w:r>
        <w:rPr>
          <w:rFonts w:hint="eastAsia" w:ascii="宋体" w:hAnsi="宋体" w:eastAsia="宋体" w:cs="Times New Roman"/>
          <w:b/>
          <w:snapToGrid w:val="0"/>
          <w:color w:val="000000"/>
          <w:sz w:val="24"/>
          <w:szCs w:val="24"/>
        </w:rPr>
        <w:t>五、投标文件的递交</w:t>
      </w:r>
    </w:p>
    <w:p w14:paraId="3A7FC598">
      <w:pPr>
        <w:autoSpaceDE w:val="0"/>
        <w:autoSpaceDN w:val="0"/>
        <w:adjustRightInd w:val="0"/>
        <w:spacing w:line="360" w:lineRule="auto"/>
        <w:ind w:left="239" w:leftChars="114" w:firstLine="240" w:firstLineChars="100"/>
        <w:rPr>
          <w:rFonts w:hint="eastAsia" w:ascii="宋体" w:hAnsi="宋体" w:eastAsia="宋体" w:cs="Times New Roman"/>
          <w:bCs/>
          <w:sz w:val="24"/>
          <w:lang w:val="zh-CN"/>
        </w:rPr>
      </w:pPr>
      <w:r>
        <w:rPr>
          <w:rFonts w:hint="eastAsia" w:ascii="宋体" w:hAnsi="宋体" w:eastAsia="宋体" w:cs="Times New Roman"/>
          <w:bCs/>
          <w:sz w:val="24"/>
          <w:lang w:val="zh-CN"/>
        </w:rPr>
        <w:t>（九）投标文件递交</w:t>
      </w:r>
    </w:p>
    <w:p w14:paraId="52CC1C1A">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1、投标文件应于磋商文件规定的截止时间之前密封递交至指定的地点，逾时视为自动放弃。</w:t>
      </w:r>
    </w:p>
    <w:p w14:paraId="7B5F010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2、投标文件需提供指定的份数，且须法定代表人或授权代表签署并加盖单位公章。</w:t>
      </w:r>
    </w:p>
    <w:p w14:paraId="06B6BBB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3、有下列情形之一时，投标人的投标文件将被拒绝：</w:t>
      </w:r>
    </w:p>
    <w:p w14:paraId="2B4B227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w:t>
      </w:r>
    </w:p>
    <w:p w14:paraId="7C76B6D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（2）投标文件少于指定份数，或未密封的；</w:t>
      </w:r>
    </w:p>
    <w:p w14:paraId="7150BD4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（3）投标文件中的响应函未加盖投标人公章及法定代表人或者委托代理人印章（签字）的；</w:t>
      </w:r>
    </w:p>
    <w:p w14:paraId="417B2E8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（4）未按磋商文件要求提供保证金的；</w:t>
      </w:r>
    </w:p>
    <w:p w14:paraId="2DB4DF1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（5）投标人名称与报名时不一致的；</w:t>
      </w:r>
      <w:r>
        <w:rPr>
          <w:rFonts w:ascii="宋体" w:hAnsi="宋体" w:eastAsia="宋体" w:cs="Times New Roman"/>
          <w:sz w:val="24"/>
          <w:lang w:val="zh-CN"/>
        </w:rPr>
        <w:t xml:space="preserve"> </w:t>
      </w:r>
    </w:p>
    <w:p w14:paraId="0EE02ED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（6）投标文件中提出招标人不能接受的条件的。</w:t>
      </w:r>
    </w:p>
    <w:p w14:paraId="497260CC">
      <w:pPr>
        <w:autoSpaceDE w:val="0"/>
        <w:autoSpaceDN w:val="0"/>
        <w:adjustRightInd w:val="0"/>
        <w:spacing w:line="360" w:lineRule="auto"/>
        <w:ind w:firstLine="42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六、开标</w:t>
      </w:r>
    </w:p>
    <w:p w14:paraId="43F858C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（十）开标</w:t>
      </w:r>
    </w:p>
    <w:p w14:paraId="297204D6">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1、开标由招标人主持，邀请所有投标人参加。投标人须派法定代表人或者法定代表人授权代表出席开标。投标人法定代表人或其代理人均未参加开标会议的将视为投标无效。</w:t>
      </w:r>
    </w:p>
    <w:p w14:paraId="163050F9">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开标时，由投标人推选的代表或招标人派出的纪检监督部门检查投标文件的密封情况，投标文件未按照磋商文件的要求予以密封的，将作为无效投标文件，退回投标人。经确认无误后，由工作人员当众拆封，宣读投标人名称、投标价格和其他招标人认为有必要的内容。</w:t>
      </w:r>
    </w:p>
    <w:p w14:paraId="569F2205">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3、招标人在磋商文件要求提交投标文件的截止时间前收到的所有投标文件，开标时都将当众予以拆封、宣读、记录。</w:t>
      </w:r>
    </w:p>
    <w:p w14:paraId="31E8F12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4、唱标顺序按各投标人送达投标文件时间先后的</w:t>
      </w:r>
      <w:r>
        <w:rPr>
          <w:rFonts w:hint="eastAsia" w:ascii="宋体" w:hAnsi="宋体" w:eastAsia="宋体" w:cs="Times New Roman"/>
          <w:b/>
          <w:bCs/>
          <w:sz w:val="24"/>
          <w:lang w:val="zh-CN"/>
        </w:rPr>
        <w:t>顺序进行</w:t>
      </w:r>
      <w:r>
        <w:rPr>
          <w:rFonts w:hint="eastAsia" w:ascii="宋体" w:hAnsi="宋体" w:eastAsia="宋体" w:cs="Times New Roman"/>
          <w:sz w:val="24"/>
          <w:lang w:val="zh-CN"/>
        </w:rPr>
        <w:t>。</w:t>
      </w:r>
    </w:p>
    <w:p w14:paraId="507969F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5、投标文件有下列情形之一的，招标人不予受理：</w:t>
      </w:r>
    </w:p>
    <w:p w14:paraId="5CE33D6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（1）逾期送达的或者未送达指定地点的；</w:t>
      </w:r>
    </w:p>
    <w:p w14:paraId="14B6E73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（2）未按磋商文件要求密封的。</w:t>
      </w:r>
    </w:p>
    <w:p w14:paraId="47D00FAD">
      <w:pPr>
        <w:autoSpaceDE w:val="0"/>
        <w:autoSpaceDN w:val="0"/>
        <w:adjustRightInd w:val="0"/>
        <w:spacing w:line="360" w:lineRule="auto"/>
        <w:ind w:firstLine="420"/>
        <w:jc w:val="center"/>
        <w:rPr>
          <w:rFonts w:hint="eastAsia" w:ascii="宋体" w:hAnsi="宋体" w:eastAsia="宋体" w:cs="Times New Roman"/>
          <w:b/>
          <w:sz w:val="24"/>
          <w:szCs w:val="24"/>
          <w:lang w:val="zh-CN"/>
        </w:rPr>
      </w:pPr>
      <w:r>
        <w:rPr>
          <w:rFonts w:hint="eastAsia" w:ascii="宋体" w:hAnsi="宋体" w:eastAsia="宋体" w:cs="Times New Roman"/>
          <w:b/>
          <w:sz w:val="24"/>
          <w:szCs w:val="24"/>
          <w:lang w:val="zh-CN"/>
        </w:rPr>
        <w:t>七、评标</w:t>
      </w:r>
    </w:p>
    <w:p w14:paraId="13F647A0">
      <w:pPr>
        <w:autoSpaceDE w:val="0"/>
        <w:autoSpaceDN w:val="0"/>
        <w:adjustRightInd w:val="0"/>
        <w:spacing w:line="360" w:lineRule="auto"/>
        <w:ind w:firstLine="420"/>
        <w:rPr>
          <w:rFonts w:hint="eastAsia" w:ascii="宋体" w:hAnsi="宋体" w:eastAsia="宋体" w:cs="Times New Roman"/>
          <w:bCs/>
          <w:sz w:val="24"/>
          <w:szCs w:val="24"/>
          <w:lang w:val="zh-CN"/>
        </w:rPr>
      </w:pPr>
      <w:r>
        <w:rPr>
          <w:rFonts w:hint="eastAsia" w:ascii="宋体" w:hAnsi="宋体" w:eastAsia="宋体" w:cs="Times New Roman"/>
          <w:bCs/>
          <w:sz w:val="24"/>
          <w:szCs w:val="24"/>
          <w:lang w:val="zh-CN"/>
        </w:rPr>
        <w:t>（十一）评标</w:t>
      </w:r>
    </w:p>
    <w:p w14:paraId="6A268E8D">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1、评标活动</w:t>
      </w:r>
    </w:p>
    <w:p w14:paraId="6437B7B9">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）评标活动由评标委员会组织进行。</w:t>
      </w:r>
    </w:p>
    <w:p w14:paraId="489021C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（2）评标委员会由招标人负责组建。</w:t>
      </w:r>
    </w:p>
    <w:p w14:paraId="5C6BB20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2、本项目采用以下方式进行评标。</w:t>
      </w:r>
    </w:p>
    <w:p w14:paraId="2A99398B">
      <w:pPr>
        <w:autoSpaceDE w:val="0"/>
        <w:autoSpaceDN w:val="0"/>
        <w:adjustRightInd w:val="0"/>
        <w:spacing w:line="360" w:lineRule="auto"/>
        <w:ind w:firstLine="420"/>
        <w:rPr>
          <w:rFonts w:hint="eastAsia" w:ascii="宋体" w:hAnsi="宋体" w:eastAsia="宋体" w:cs="Times New Roman"/>
          <w:b/>
          <w:bCs/>
          <w:sz w:val="24"/>
        </w:rPr>
      </w:pPr>
      <w:r>
        <w:rPr>
          <w:rFonts w:hint="eastAsia" w:ascii="宋体" w:hAnsi="宋体" w:eastAsia="宋体" w:cs="Times New Roman"/>
          <w:b/>
          <w:bCs/>
          <w:sz w:val="24"/>
        </w:rPr>
        <w:t>本次磋商评标办法采用综合评分法。</w:t>
      </w:r>
      <w:bookmarkStart w:id="4" w:name="_Hlk85095957"/>
    </w:p>
    <w:bookmarkEnd w:id="4"/>
    <w:p w14:paraId="53414729">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本项目</w:t>
      </w:r>
      <w:r>
        <w:rPr>
          <w:rFonts w:ascii="宋体" w:hAnsi="宋体" w:eastAsia="宋体" w:cs="Times New Roman"/>
          <w:sz w:val="24"/>
        </w:rPr>
        <w:t>按照磋商文件本章规定的评分标准进行打分，推荐三名中标候选人。按照评审得分由高到低顺序推荐中标候选人。若评分相等时，以评标价低的投标人排名在前。得分且投标报价相同的，按</w:t>
      </w:r>
      <w:r>
        <w:rPr>
          <w:rFonts w:hint="eastAsia" w:ascii="宋体" w:hAnsi="宋体" w:eastAsia="宋体" w:cs="Times New Roman"/>
          <w:sz w:val="24"/>
        </w:rPr>
        <w:t>技术</w:t>
      </w:r>
      <w:r>
        <w:rPr>
          <w:rFonts w:ascii="宋体" w:hAnsi="宋体" w:eastAsia="宋体" w:cs="Times New Roman"/>
          <w:sz w:val="24"/>
        </w:rPr>
        <w:t>方案优劣顺序排列。</w:t>
      </w:r>
    </w:p>
    <w:p w14:paraId="0A53DC8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2）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4E408282">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3）本项目由招标人在评标委员会推荐的前三名中标候选人中确定1名中标人。</w:t>
      </w:r>
    </w:p>
    <w:p w14:paraId="1BDB900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（十二）投标文件的澄清</w:t>
      </w:r>
    </w:p>
    <w:p w14:paraId="5131AF2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1、为了有助于投标文件的审查、评价和比较，评标委员会可以书面方式要求投标人对投标文件中含义不明确、对同类问题表述不一致或者有明显 文字和计算错误的内容作必要的澄清、说明或者补正。投标人的澄清、说明或者补正应以书面方式进行并不得超出投标文件的范围或者改变投标文件的实质性内容。</w:t>
      </w:r>
    </w:p>
    <w:p w14:paraId="7A19CECC">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2、评标委员会在对实质上响应磋商文件要求的投标进行报价评估时，除磋商文件另有约定外，将按下述原则进行修正：</w:t>
      </w:r>
    </w:p>
    <w:p w14:paraId="4B1F6191">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（1）用数字表示的数额与用文字表示的数额不一致时，以文字数额为准；</w:t>
      </w:r>
    </w:p>
    <w:p w14:paraId="0DEEE274">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（2）单价与工程量的乘积与总价之间不一致时，以单价为准。若单价有明显的小数点错位，应以总价为准，并修改单价。</w:t>
      </w:r>
    </w:p>
    <w:p w14:paraId="2072296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按前款规定调整后的报价经投标人确认后产生约束力。</w:t>
      </w:r>
    </w:p>
    <w:p w14:paraId="56AAFCC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投标文件中没有列入的价格和优惠条件在评标时不予考虑。</w:t>
      </w:r>
    </w:p>
    <w:p w14:paraId="78B14100">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（十三）在评标过程中，评标委员会若发现投标人以他人的名义投标、串通投标、以行贿手段谋取中标或者以其他弄虚作假方式投标的，该投标人的投标将作废标处理。</w:t>
      </w:r>
    </w:p>
    <w:p w14:paraId="431798D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四）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14:paraId="7B4FED23">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（十五）投标人资格条件不符合国家有关规定和磋商文件要求的，或者拒不按照要求对投标文件进行澄清、说明或者补正的，评标委员会可以否决其投标。</w:t>
      </w:r>
    </w:p>
    <w:p w14:paraId="444940E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（十六）评标委员会将审查每一投标文件是否对磋商文件提出的所有实质性要求和条件作出响应。未能在实质上响应的投标，将作废标处理。</w:t>
      </w:r>
    </w:p>
    <w:p w14:paraId="494C2BBF">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（十七）投标文件有下述情形之一的，属于重大偏差，视为未能对磋商文件作出实质性响应，并按前条规定作废标处理：</w:t>
      </w:r>
    </w:p>
    <w:p w14:paraId="0A371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1、投标文件中的投标函未加盖投标人的公章及企业法定代表人印章的，或者企业法定代表人委托代理人没有合法、有效的委托书（原件）及委托代理人印章的；</w:t>
      </w:r>
    </w:p>
    <w:p w14:paraId="7E785CF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2、未按磋商文件要求提供投标保证金的； </w:t>
      </w:r>
    </w:p>
    <w:p w14:paraId="6A925C4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3、未按磋商文件规定的格式填写，内容不全或关键字迹模糊、无法辨认的； </w:t>
      </w:r>
    </w:p>
    <w:p w14:paraId="0BEAB14A">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4、投标人递交两份或多份内容不同的投标文件，或在一份投标文件中对同一招标项目报有两个或多个报价，且未声明哪一个有效，按磋商文件规定提交备选投标方案的除外； </w:t>
      </w:r>
    </w:p>
    <w:p w14:paraId="45A01EC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5、投标人名称与投标报名时不一致的；</w:t>
      </w:r>
    </w:p>
    <w:p w14:paraId="2AC9894B">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6、投标人资格条件不符合国家有关规定或磋商文件要求的；</w:t>
      </w:r>
    </w:p>
    <w:p w14:paraId="10A4C34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7、投标文件载明的招标项目完成期限超过磋商文件规定的期限； </w:t>
      </w:r>
    </w:p>
    <w:p w14:paraId="1BE4947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8、明显不符合技术规范、技术标准的要求； </w:t>
      </w:r>
    </w:p>
    <w:p w14:paraId="2B20AE5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9、投标报价超过磋商文件规定的招标控制价的；</w:t>
      </w:r>
    </w:p>
    <w:p w14:paraId="1FCD04E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、不同投标人的投标文件出现了评标委员会认为不应当雷同的情况；</w:t>
      </w:r>
    </w:p>
    <w:p w14:paraId="17425F8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1</w:t>
      </w:r>
      <w:r>
        <w:rPr>
          <w:rFonts w:hint="eastAsia" w:ascii="宋体" w:hAnsi="宋体" w:eastAsia="宋体" w:cs="Times New Roman"/>
          <w:sz w:val="24"/>
        </w:rPr>
        <w:t xml:space="preserve">、投标文件载明的货物包装方式、检验标准和方法等不符合磋商文件的要求； </w:t>
      </w:r>
    </w:p>
    <w:p w14:paraId="68575B5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 xml:space="preserve">、投标文件提出了不能满足磋商文件要求或招标人不能接受的工程验收、计量、价款结算支付办法； </w:t>
      </w:r>
    </w:p>
    <w:p w14:paraId="7A57F34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、以他人的名义投标、串通投标、以行贿手段谋取中标或者以其他弄虚作假方式投标的；</w:t>
      </w:r>
    </w:p>
    <w:p w14:paraId="1B1C6FA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、经评标委员会认定投标人的投标报价低于成本价的；</w:t>
      </w:r>
    </w:p>
    <w:p w14:paraId="2CF49F4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评标委员会根据规定否决不合格投标后，因有效投标不足三个，使得投标明显缺乏竞争的，评标委员会可以否决全部投标。所有投标被否决的，招标人依法重新招标。</w:t>
      </w:r>
    </w:p>
    <w:p w14:paraId="3F8E59E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评标委员会根据规定否决不合格投标或者界定为废标后，因有效投标不足三个的，且仍具有竞争的，评标委员会可以按照有关规定继续评审。</w:t>
      </w:r>
    </w:p>
    <w:p w14:paraId="531CC6B8">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八）评标和定标将在投标有效期结束日30个工作日前完成。不能在投标有效期结束日30个工作日前完成评标和定标的，招标人将通知所有投标人延长投标有效期。同意延长投标有效期的投标人应当相应延长其投标担保的有效期，但不得修改投标文件的实质性内容。</w:t>
      </w:r>
    </w:p>
    <w:p w14:paraId="120050B8">
      <w:pPr>
        <w:spacing w:line="360" w:lineRule="auto"/>
        <w:ind w:firstLine="482" w:firstLineChars="200"/>
        <w:jc w:val="center"/>
        <w:rPr>
          <w:rFonts w:hint="eastAsia" w:ascii="宋体" w:hAnsi="宋体" w:eastAsia="宋体" w:cs="Times New Roman"/>
          <w:b/>
          <w:sz w:val="24"/>
          <w:lang w:val="zh-CN"/>
        </w:rPr>
      </w:pPr>
      <w:r>
        <w:rPr>
          <w:rFonts w:hint="eastAsia" w:ascii="宋体" w:hAnsi="宋体" w:eastAsia="宋体" w:cs="Times New Roman"/>
          <w:b/>
          <w:sz w:val="24"/>
          <w:lang w:val="zh-CN"/>
        </w:rPr>
        <w:t>八、合同授予</w:t>
      </w:r>
    </w:p>
    <w:p w14:paraId="31256E73">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lang w:val="zh-CN"/>
        </w:rPr>
        <w:t>（十九）中标</w:t>
      </w:r>
    </w:p>
    <w:p w14:paraId="040AEFD2">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1、确定中标单位后，招标人向中标单位发出中标通知书，并同时将中标结果通知所有未中标的投标人，中标通知书将成为合同的组成部分。</w:t>
      </w:r>
    </w:p>
    <w:p w14:paraId="329F0E0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2、中标单位收到中标通知书后，应在30日内与招标人签订施工合同。中标人不与招标人订立合同的，应当对招标人的损失承担赔偿责任。</w:t>
      </w:r>
    </w:p>
    <w:p w14:paraId="1AEADC7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（二十）合同签订</w:t>
      </w:r>
    </w:p>
    <w:p w14:paraId="3F19AA7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1、招标人与中标人将根据《中华人民共和国民法典》的规定，依据磋商文件和投标文件签订施工合同。</w:t>
      </w:r>
    </w:p>
    <w:p w14:paraId="56AD3ECB">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、如果中标人未能按本须知第二十条1款规定签订合同协议书，招标人则可宣布其中标无效，并没收其投标担保。在此情况下，招标人可将合同授予下一个中标候选人；或者按规定重新组织招标。</w:t>
      </w:r>
    </w:p>
    <w:p w14:paraId="4F4EC7FD">
      <w:pPr>
        <w:spacing w:line="360" w:lineRule="auto"/>
        <w:ind w:firstLine="482" w:firstLineChars="200"/>
        <w:jc w:val="center"/>
        <w:rPr>
          <w:rFonts w:hint="eastAsia" w:ascii="宋体" w:hAnsi="宋体" w:eastAsia="宋体" w:cs="Times New Roman"/>
          <w:b/>
          <w:bCs/>
          <w:sz w:val="24"/>
          <w:szCs w:val="24"/>
        </w:rPr>
      </w:pPr>
      <w:r>
        <w:rPr>
          <w:rFonts w:hint="eastAsia" w:ascii="宋体" w:hAnsi="宋体" w:eastAsia="宋体" w:cs="Times New Roman"/>
          <w:b/>
          <w:bCs/>
          <w:sz w:val="24"/>
          <w:szCs w:val="24"/>
        </w:rPr>
        <w:t>九、其他</w:t>
      </w:r>
    </w:p>
    <w:p w14:paraId="1C5B116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（二十一）重新招标</w:t>
      </w:r>
    </w:p>
    <w:p w14:paraId="6CB648E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有下列情形之一的，招标人将重新招标：</w:t>
      </w:r>
    </w:p>
    <w:p w14:paraId="28175BC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）经评标委员会评审后否决所有投标的；</w:t>
      </w:r>
    </w:p>
    <w:p w14:paraId="23297C7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）法律、法规规定的其他重新招标的情形。</w:t>
      </w:r>
    </w:p>
    <w:p w14:paraId="09980B5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（二十二）不再招标</w:t>
      </w:r>
    </w:p>
    <w:p w14:paraId="28F8C27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重新招标后投标人仍少于</w:t>
      </w:r>
      <w:r>
        <w:rPr>
          <w:rFonts w:ascii="宋体" w:hAnsi="宋体" w:eastAsia="宋体" w:cs="Times New Roman"/>
          <w:sz w:val="24"/>
          <w:szCs w:val="24"/>
        </w:rPr>
        <w:t>3</w:t>
      </w:r>
      <w:r>
        <w:rPr>
          <w:rFonts w:hint="eastAsia" w:ascii="宋体" w:hAnsi="宋体" w:eastAsia="宋体" w:cs="Times New Roman"/>
          <w:sz w:val="24"/>
          <w:szCs w:val="24"/>
        </w:rPr>
        <w:t>个或者所有投标被否决的，属于必须审批或核准的工程建设项目，经原审批或核准部门批准后不再进行招标。</w:t>
      </w:r>
    </w:p>
    <w:p w14:paraId="6A49BE6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（二十三）纪律和监督</w:t>
      </w:r>
    </w:p>
    <w:p w14:paraId="2A1A477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1、对招标人的纪律要求</w:t>
      </w:r>
    </w:p>
    <w:p w14:paraId="4D34761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招标人不得泄漏招标投标活动中应当保密的情况和资料，不得与投标人串通损害国家利益、社会公共利益或者他人合法权益。</w:t>
      </w:r>
    </w:p>
    <w:p w14:paraId="70A37D1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2、对投标人的纪律要求</w:t>
      </w:r>
    </w:p>
    <w:p w14:paraId="4B01C2CD">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D9B133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3、对评标委员会成员的纪律要求</w:t>
      </w:r>
    </w:p>
    <w:p w14:paraId="613C9ED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DA655A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4、对与评标活动有关的工作人员的纪律要求</w:t>
      </w:r>
    </w:p>
    <w:p w14:paraId="212FCBD2">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与评标活动有关的工作人员不得收受他人的财物或者其他好处，不得向他人透漏对投标文件的评审和比较、中标候选人的推荐情况以及评标有关的其他情况。</w:t>
      </w:r>
    </w:p>
    <w:p w14:paraId="41AAF1F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5、投诉</w:t>
      </w:r>
    </w:p>
    <w:p w14:paraId="5611267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投标人和其他利害关系人认为本次招标活动违反法律、法规和规章规定的，有权向有关行政监督部门投诉。</w:t>
      </w:r>
    </w:p>
    <w:p w14:paraId="6AFD4A44">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5" w:name="_Toc179553569"/>
      <w:r>
        <w:rPr>
          <w:rFonts w:hint="eastAsia" w:ascii="宋体" w:hAnsi="宋体" w:eastAsia="宋体" w:cs="宋体"/>
          <w:b/>
          <w:bCs/>
          <w:kern w:val="0"/>
          <w:sz w:val="36"/>
          <w:szCs w:val="21"/>
        </w:rPr>
        <w:t>第三章  评标方法及标准</w:t>
      </w:r>
      <w:bookmarkEnd w:id="5"/>
    </w:p>
    <w:p w14:paraId="121704E6">
      <w:pPr>
        <w:spacing w:line="360" w:lineRule="auto"/>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rPr>
        <w:t>1.  评标方法</w:t>
      </w:r>
    </w:p>
    <w:p w14:paraId="18239824">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本次评标采用</w:t>
      </w:r>
      <w:r>
        <w:rPr>
          <w:rFonts w:hint="eastAsia" w:ascii="宋体" w:hAnsi="宋体" w:eastAsia="宋体" w:cs="Times New Roman"/>
          <w:b/>
          <w:bCs/>
          <w:sz w:val="24"/>
          <w:szCs w:val="24"/>
        </w:rPr>
        <w:t>综合评分法</w:t>
      </w:r>
      <w:r>
        <w:rPr>
          <w:rFonts w:hint="eastAsia" w:ascii="宋体" w:hAnsi="宋体" w:eastAsia="宋体" w:cs="Times New Roman"/>
          <w:sz w:val="24"/>
          <w:szCs w:val="24"/>
        </w:rPr>
        <w:t>。</w:t>
      </w:r>
    </w:p>
    <w:p w14:paraId="2890537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本项目按照磋商文件本章规定的评分标准进行打分，推荐三名中标候选人。按照评审得分由高到低顺序推荐中标候选人。若评分相等时，以评标价低的投标人排名在前。得分且投标报价相同的，按技术方案优劣顺序排列。</w:t>
      </w:r>
    </w:p>
    <w:p w14:paraId="43DF443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6748C41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（3）本项目由招标人在评标委员会推荐的前三名中标候选人中确定</w:t>
      </w:r>
      <w:r>
        <w:rPr>
          <w:rFonts w:ascii="宋体" w:hAnsi="宋体" w:eastAsia="宋体" w:cs="Times New Roman"/>
          <w:sz w:val="24"/>
          <w:szCs w:val="24"/>
        </w:rPr>
        <w:t>1名中标人。</w:t>
      </w:r>
    </w:p>
    <w:p w14:paraId="6D97F647">
      <w:pPr>
        <w:spacing w:line="360" w:lineRule="auto"/>
        <w:rPr>
          <w:rFonts w:hint="eastAsia" w:ascii="宋体" w:hAnsi="宋体" w:eastAsia="宋体" w:cs="Times New Roman"/>
          <w:b/>
          <w:bCs/>
          <w:sz w:val="24"/>
          <w:szCs w:val="24"/>
        </w:rPr>
      </w:pPr>
      <w:r>
        <w:rPr>
          <w:rFonts w:hint="eastAsia" w:ascii="宋体" w:hAnsi="宋体" w:eastAsia="宋体" w:cs="Times New Roman"/>
          <w:b/>
          <w:bCs/>
          <w:sz w:val="24"/>
          <w:szCs w:val="24"/>
        </w:rPr>
        <w:t>2.  评分标准</w:t>
      </w:r>
    </w:p>
    <w:tbl>
      <w:tblPr>
        <w:tblStyle w:val="58"/>
        <w:tblW w:w="0" w:type="auto"/>
        <w:jc w:val="center"/>
        <w:tblLayout w:type="fixed"/>
        <w:tblCellMar>
          <w:top w:w="0" w:type="dxa"/>
          <w:left w:w="10" w:type="dxa"/>
          <w:bottom w:w="0" w:type="dxa"/>
          <w:right w:w="10" w:type="dxa"/>
        </w:tblCellMar>
      </w:tblPr>
      <w:tblGrid>
        <w:gridCol w:w="1413"/>
        <w:gridCol w:w="1559"/>
        <w:gridCol w:w="5318"/>
      </w:tblGrid>
      <w:tr w14:paraId="25534BF4">
        <w:tblPrEx>
          <w:tblCellMar>
            <w:top w:w="0" w:type="dxa"/>
            <w:left w:w="10" w:type="dxa"/>
            <w:bottom w:w="0" w:type="dxa"/>
            <w:right w:w="10" w:type="dxa"/>
          </w:tblCellMar>
        </w:tblPrEx>
        <w:trPr>
          <w:trHeight w:val="392" w:hRule="atLeast"/>
          <w:jc w:val="center"/>
        </w:trPr>
        <w:tc>
          <w:tcPr>
            <w:tcW w:w="1413" w:type="dxa"/>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79D00404">
            <w:pPr>
              <w:jc w:val="center"/>
              <w:rPr>
                <w:rFonts w:hint="eastAsia" w:ascii="宋体" w:hAnsi="宋体" w:eastAsia="宋体" w:cs="宋体"/>
                <w:sz w:val="24"/>
                <w:szCs w:val="24"/>
              </w:rPr>
            </w:pPr>
            <w:r>
              <w:rPr>
                <w:rFonts w:hint="eastAsia" w:ascii="宋体" w:hAnsi="宋体" w:eastAsia="宋体" w:cs="宋体"/>
                <w:b/>
                <w:sz w:val="24"/>
                <w:szCs w:val="24"/>
              </w:rPr>
              <w:t>项目</w:t>
            </w:r>
          </w:p>
        </w:tc>
        <w:tc>
          <w:tcPr>
            <w:tcW w:w="6877" w:type="dxa"/>
            <w:gridSpan w:val="2"/>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3C3701F8">
            <w:pPr>
              <w:jc w:val="center"/>
              <w:rPr>
                <w:rFonts w:hint="eastAsia" w:ascii="宋体" w:hAnsi="宋体" w:eastAsia="宋体" w:cs="宋体"/>
                <w:sz w:val="24"/>
                <w:szCs w:val="24"/>
              </w:rPr>
            </w:pPr>
            <w:r>
              <w:rPr>
                <w:rFonts w:hint="eastAsia" w:ascii="宋体" w:hAnsi="宋体" w:eastAsia="宋体" w:cs="宋体"/>
                <w:b/>
                <w:sz w:val="24"/>
                <w:szCs w:val="24"/>
              </w:rPr>
              <w:t>评分标准</w:t>
            </w:r>
          </w:p>
        </w:tc>
      </w:tr>
      <w:tr w14:paraId="4A0BBF8B">
        <w:tblPrEx>
          <w:tblCellMar>
            <w:top w:w="0" w:type="dxa"/>
            <w:left w:w="10" w:type="dxa"/>
            <w:bottom w:w="0" w:type="dxa"/>
            <w:right w:w="10" w:type="dxa"/>
          </w:tblCellMar>
        </w:tblPrEx>
        <w:trPr>
          <w:jc w:val="center"/>
        </w:trPr>
        <w:tc>
          <w:tcPr>
            <w:tcW w:w="1413" w:type="dxa"/>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0795A6B6">
            <w:pPr>
              <w:jc w:val="center"/>
              <w:rPr>
                <w:rFonts w:hint="eastAsia" w:ascii="宋体" w:hAnsi="宋体" w:eastAsia="宋体"/>
                <w:sz w:val="24"/>
                <w:szCs w:val="24"/>
              </w:rPr>
            </w:pPr>
            <w:r>
              <w:rPr>
                <w:rFonts w:hint="eastAsia" w:ascii="宋体" w:hAnsi="宋体" w:eastAsia="宋体"/>
                <w:sz w:val="24"/>
                <w:szCs w:val="24"/>
              </w:rPr>
              <w:t>报价分</w:t>
            </w:r>
          </w:p>
          <w:p w14:paraId="13294A25">
            <w:pPr>
              <w:jc w:val="center"/>
              <w:rPr>
                <w:rFonts w:hint="eastAsia" w:ascii="宋体" w:hAnsi="宋体" w:eastAsia="宋体" w:cs="宋体"/>
                <w:b/>
                <w:sz w:val="24"/>
                <w:szCs w:val="24"/>
              </w:rPr>
            </w:pPr>
            <w:r>
              <w:rPr>
                <w:rFonts w:hint="eastAsia" w:ascii="宋体" w:hAnsi="宋体" w:eastAsia="宋体"/>
                <w:sz w:val="24"/>
                <w:szCs w:val="24"/>
              </w:rPr>
              <w:t>（5</w:t>
            </w:r>
            <w:r>
              <w:rPr>
                <w:rFonts w:ascii="宋体" w:hAnsi="宋体" w:eastAsia="宋体"/>
                <w:sz w:val="24"/>
                <w:szCs w:val="24"/>
              </w:rPr>
              <w:t>0</w:t>
            </w:r>
            <w:r>
              <w:rPr>
                <w:rFonts w:hint="eastAsia" w:ascii="宋体" w:hAnsi="宋体" w:eastAsia="宋体"/>
                <w:sz w:val="24"/>
                <w:szCs w:val="24"/>
              </w:rPr>
              <w:t>分）</w:t>
            </w:r>
          </w:p>
        </w:tc>
        <w:tc>
          <w:tcPr>
            <w:tcW w:w="6877" w:type="dxa"/>
            <w:gridSpan w:val="2"/>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320E1F7F">
            <w:pPr>
              <w:jc w:val="left"/>
              <w:rPr>
                <w:rFonts w:hint="eastAsia" w:ascii="宋体" w:hAnsi="宋体" w:eastAsia="宋体"/>
                <w:sz w:val="24"/>
                <w:szCs w:val="24"/>
              </w:rPr>
            </w:pPr>
            <w:r>
              <w:rPr>
                <w:rFonts w:hint="eastAsia" w:ascii="宋体" w:hAnsi="宋体" w:eastAsia="宋体"/>
                <w:sz w:val="24"/>
                <w:szCs w:val="24"/>
              </w:rPr>
              <w:t>以所有有效投标文件（有效投标文件是指初步评审合格的投标文件）的评标价（评标价是指经澄清、补正和修正算术计算错误的投标报价）的算术平均值为评标基准价。(小数点后保留两位)</w:t>
            </w:r>
          </w:p>
          <w:p w14:paraId="62DB0B80">
            <w:pPr>
              <w:jc w:val="left"/>
              <w:rPr>
                <w:rFonts w:hint="eastAsia" w:ascii="宋体" w:hAnsi="宋体" w:eastAsia="宋体"/>
                <w:sz w:val="24"/>
                <w:szCs w:val="24"/>
              </w:rPr>
            </w:pPr>
            <w:r>
              <w:rPr>
                <w:rFonts w:hint="eastAsia" w:ascii="宋体" w:hAnsi="宋体" w:eastAsia="宋体"/>
                <w:sz w:val="24"/>
                <w:szCs w:val="24"/>
              </w:rPr>
              <w:t>投标报价的偏差率计算公式：偏差率=100% ×|投标人报价 - 评标基准价|/评标基准价</w:t>
            </w:r>
          </w:p>
          <w:p w14:paraId="08550877">
            <w:pPr>
              <w:jc w:val="left"/>
              <w:rPr>
                <w:rFonts w:hint="eastAsia" w:ascii="宋体" w:hAnsi="宋体" w:eastAsia="宋体"/>
                <w:sz w:val="24"/>
                <w:szCs w:val="24"/>
              </w:rPr>
            </w:pPr>
            <w:r>
              <w:rPr>
                <w:rFonts w:hint="eastAsia" w:ascii="宋体" w:hAnsi="宋体" w:eastAsia="宋体"/>
                <w:sz w:val="24"/>
                <w:szCs w:val="24"/>
              </w:rPr>
              <w:t>偏离评标基准价的每增加1%扣0.5分，每降低1%扣0.3分，偏离不足1%的，按照插入法计算得分。</w:t>
            </w:r>
          </w:p>
          <w:p w14:paraId="41328456">
            <w:pPr>
              <w:jc w:val="left"/>
              <w:rPr>
                <w:rFonts w:hint="eastAsia" w:ascii="宋体" w:hAnsi="宋体" w:eastAsia="宋体" w:cs="宋体"/>
                <w:b/>
                <w:sz w:val="24"/>
                <w:szCs w:val="24"/>
              </w:rPr>
            </w:pPr>
            <w:r>
              <w:rPr>
                <w:rFonts w:hint="eastAsia" w:ascii="宋体" w:hAnsi="宋体" w:eastAsia="宋体"/>
                <w:sz w:val="24"/>
                <w:szCs w:val="24"/>
              </w:rPr>
              <w:t>备注：评标小组认为供应商的报价明显低于其他通过符合性审查投标人的报价，有可能影响项目质量或者不能诚信履约的，评标小组有权要求其在开标现场合理的时间内提供书面说明，必要时提交相关证明材料；投标人不能证明其报价合理性的，评标小组将其作为无效投标处理。</w:t>
            </w:r>
          </w:p>
        </w:tc>
      </w:tr>
      <w:tr w14:paraId="4941B2AD">
        <w:tblPrEx>
          <w:tblCellMar>
            <w:top w:w="0" w:type="dxa"/>
            <w:left w:w="10" w:type="dxa"/>
            <w:bottom w:w="0" w:type="dxa"/>
            <w:right w:w="10" w:type="dxa"/>
          </w:tblCellMar>
        </w:tblPrEx>
        <w:trPr>
          <w:trHeight w:val="1418" w:hRule="exact"/>
          <w:jc w:val="center"/>
        </w:trPr>
        <w:tc>
          <w:tcPr>
            <w:tcW w:w="1413" w:type="dxa"/>
            <w:tcBorders>
              <w:top w:val="single" w:color="000000" w:sz="4" w:space="0"/>
              <w:left w:val="single" w:color="000000" w:sz="4" w:space="0"/>
              <w:right w:val="single" w:color="000000" w:sz="4" w:space="0"/>
            </w:tcBorders>
            <w:shd w:val="clear" w:color="auto" w:fill="auto"/>
            <w:tcMar>
              <w:top w:w="0" w:type="dxa"/>
              <w:left w:w="14" w:type="dxa"/>
              <w:bottom w:w="0" w:type="dxa"/>
              <w:right w:w="14" w:type="dxa"/>
            </w:tcMar>
            <w:vAlign w:val="center"/>
          </w:tcPr>
          <w:p w14:paraId="3FC00B57">
            <w:pPr>
              <w:ind w:firstLine="420"/>
              <w:rPr>
                <w:rFonts w:hint="eastAsia" w:ascii="宋体" w:hAnsi="宋体" w:eastAsia="宋体"/>
                <w:sz w:val="24"/>
                <w:szCs w:val="24"/>
              </w:rPr>
            </w:pPr>
          </w:p>
          <w:p w14:paraId="457FEC43">
            <w:pPr>
              <w:ind w:firstLine="420"/>
              <w:rPr>
                <w:rFonts w:hint="eastAsia" w:ascii="宋体" w:hAnsi="宋体" w:eastAsia="宋体"/>
                <w:sz w:val="24"/>
                <w:szCs w:val="24"/>
              </w:rPr>
            </w:pPr>
          </w:p>
          <w:p w14:paraId="57979025">
            <w:pPr>
              <w:ind w:firstLine="420"/>
              <w:rPr>
                <w:rFonts w:hint="eastAsia" w:ascii="宋体" w:hAnsi="宋体" w:eastAsia="宋体"/>
                <w:sz w:val="24"/>
                <w:szCs w:val="24"/>
              </w:rPr>
            </w:pPr>
          </w:p>
          <w:p w14:paraId="6C81B20E">
            <w:pPr>
              <w:ind w:firstLine="420"/>
              <w:rPr>
                <w:rFonts w:hint="eastAsia" w:ascii="宋体" w:hAnsi="宋体" w:eastAsia="宋体"/>
                <w:sz w:val="24"/>
                <w:szCs w:val="24"/>
              </w:rPr>
            </w:pPr>
          </w:p>
          <w:p w14:paraId="4698C264">
            <w:pPr>
              <w:ind w:firstLine="420"/>
              <w:rPr>
                <w:rFonts w:hint="eastAsia" w:ascii="宋体" w:hAnsi="宋体" w:eastAsia="宋体"/>
                <w:sz w:val="24"/>
                <w:szCs w:val="24"/>
              </w:rPr>
            </w:pPr>
          </w:p>
          <w:p w14:paraId="6D66412E">
            <w:pPr>
              <w:ind w:firstLine="420"/>
              <w:rPr>
                <w:rFonts w:hint="eastAsia" w:ascii="宋体" w:hAnsi="宋体" w:eastAsia="宋体"/>
                <w:sz w:val="24"/>
                <w:szCs w:val="24"/>
              </w:rPr>
            </w:pPr>
          </w:p>
          <w:p w14:paraId="06DF6D29">
            <w:pPr>
              <w:ind w:firstLine="420"/>
              <w:rPr>
                <w:rFonts w:hint="eastAsia" w:ascii="宋体" w:hAnsi="宋体" w:eastAsia="宋体"/>
                <w:sz w:val="24"/>
                <w:szCs w:val="24"/>
              </w:rPr>
            </w:pPr>
          </w:p>
          <w:p w14:paraId="446B83A7">
            <w:pPr>
              <w:ind w:firstLine="420"/>
              <w:rPr>
                <w:rFonts w:hint="eastAsia" w:ascii="宋体" w:hAnsi="宋体" w:eastAsia="宋体"/>
                <w:sz w:val="24"/>
                <w:szCs w:val="24"/>
              </w:rPr>
            </w:pPr>
          </w:p>
          <w:p w14:paraId="6BA67BA0">
            <w:pPr>
              <w:ind w:firstLine="420"/>
              <w:rPr>
                <w:rFonts w:hint="eastAsia" w:ascii="宋体" w:hAnsi="宋体" w:eastAsia="宋体"/>
                <w:sz w:val="24"/>
                <w:szCs w:val="24"/>
              </w:rPr>
            </w:pPr>
          </w:p>
          <w:p w14:paraId="6CE1A0C8">
            <w:pPr>
              <w:ind w:firstLine="420"/>
              <w:rPr>
                <w:rFonts w:hint="eastAsia" w:ascii="宋体" w:hAnsi="宋体" w:eastAsia="宋体"/>
                <w:sz w:val="24"/>
                <w:szCs w:val="24"/>
              </w:rPr>
            </w:pPr>
          </w:p>
          <w:p w14:paraId="26E21C02">
            <w:pPr>
              <w:ind w:firstLine="420"/>
              <w:rPr>
                <w:rFonts w:hint="eastAsia" w:ascii="宋体" w:hAnsi="宋体" w:eastAsia="宋体"/>
                <w:sz w:val="24"/>
                <w:szCs w:val="24"/>
              </w:rPr>
            </w:pPr>
          </w:p>
          <w:p w14:paraId="4B593C3D">
            <w:pPr>
              <w:ind w:firstLine="420"/>
              <w:rPr>
                <w:rFonts w:hint="eastAsia" w:ascii="宋体" w:hAnsi="宋体" w:eastAsia="宋体"/>
                <w:sz w:val="24"/>
                <w:szCs w:val="24"/>
              </w:rPr>
            </w:pPr>
          </w:p>
          <w:p w14:paraId="3968BCE3">
            <w:pPr>
              <w:ind w:firstLine="420"/>
              <w:rPr>
                <w:rFonts w:hint="eastAsia" w:ascii="宋体" w:hAnsi="宋体" w:eastAsia="宋体"/>
                <w:sz w:val="24"/>
                <w:szCs w:val="24"/>
              </w:rPr>
            </w:pPr>
            <w:r>
              <w:rPr>
                <w:rFonts w:hint="eastAsia" w:ascii="宋体" w:hAnsi="宋体" w:eastAsia="宋体"/>
                <w:sz w:val="24"/>
                <w:szCs w:val="24"/>
              </w:rPr>
              <w:t>技术部分</w:t>
            </w:r>
          </w:p>
          <w:p w14:paraId="02232A4F">
            <w:pPr>
              <w:ind w:firstLine="420"/>
              <w:rPr>
                <w:rFonts w:hint="eastAsia" w:ascii="宋体" w:hAnsi="宋体" w:eastAsia="宋体"/>
                <w:sz w:val="24"/>
                <w:szCs w:val="24"/>
              </w:rPr>
            </w:pPr>
            <w:r>
              <w:rPr>
                <w:rFonts w:hint="eastAsia" w:ascii="宋体" w:hAnsi="宋体" w:eastAsia="宋体"/>
                <w:sz w:val="24"/>
                <w:szCs w:val="24"/>
              </w:rPr>
              <w:t>(</w:t>
            </w:r>
            <w:r>
              <w:rPr>
                <w:rFonts w:ascii="宋体" w:hAnsi="宋体" w:eastAsia="宋体"/>
                <w:sz w:val="24"/>
                <w:szCs w:val="24"/>
              </w:rPr>
              <w:t>46</w:t>
            </w:r>
            <w:r>
              <w:rPr>
                <w:rFonts w:hint="eastAsia" w:ascii="宋体" w:hAnsi="宋体" w:eastAsia="宋体"/>
                <w:sz w:val="24"/>
                <w:szCs w:val="24"/>
              </w:rPr>
              <w:t>分)</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1A1AC403">
            <w:pPr>
              <w:snapToGrid w:val="0"/>
              <w:jc w:val="center"/>
              <w:rPr>
                <w:rFonts w:hint="eastAsia" w:ascii="宋体" w:hAnsi="宋体" w:eastAsia="宋体" w:cs="宋体"/>
                <w:sz w:val="24"/>
                <w:szCs w:val="24"/>
              </w:rPr>
            </w:pPr>
            <w:r>
              <w:rPr>
                <w:rFonts w:hint="eastAsia" w:ascii="宋体" w:hAnsi="宋体" w:eastAsia="宋体" w:cs="宋体"/>
                <w:sz w:val="24"/>
                <w:szCs w:val="24"/>
              </w:rPr>
              <w:t>技术响应情况</w:t>
            </w:r>
          </w:p>
          <w:p w14:paraId="0FDE5A1F">
            <w:pPr>
              <w:snapToGrid w:val="0"/>
              <w:jc w:val="center"/>
              <w:rPr>
                <w:rFonts w:hint="eastAsia" w:ascii="宋体" w:hAnsi="宋体" w:eastAsia="宋体" w:cs="宋体"/>
                <w:sz w:val="24"/>
                <w:szCs w:val="24"/>
              </w:rPr>
            </w:pPr>
            <w:r>
              <w:rPr>
                <w:rFonts w:hint="eastAsia" w:ascii="宋体" w:hAnsi="宋体" w:eastAsia="宋体" w:cs="宋体"/>
                <w:sz w:val="24"/>
                <w:szCs w:val="24"/>
              </w:rPr>
              <w:t>（14分）</w:t>
            </w:r>
          </w:p>
        </w:tc>
        <w:tc>
          <w:tcPr>
            <w:tcW w:w="53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60341620">
            <w:pPr>
              <w:snapToGrid w:val="0"/>
              <w:rPr>
                <w:rFonts w:hint="eastAsia" w:ascii="宋体" w:hAnsi="宋体" w:eastAsia="宋体" w:cs="宋体"/>
                <w:sz w:val="24"/>
                <w:szCs w:val="24"/>
              </w:rPr>
            </w:pPr>
            <w:r>
              <w:rPr>
                <w:rFonts w:hint="eastAsia" w:ascii="宋体" w:hAnsi="宋体" w:eastAsia="宋体" w:cs="宋体"/>
                <w:sz w:val="24"/>
                <w:szCs w:val="24"/>
              </w:rPr>
              <w:t>全部响应或优于招标文件技术参数要求的得</w:t>
            </w:r>
            <w:r>
              <w:rPr>
                <w:rFonts w:ascii="宋体" w:hAnsi="宋体" w:eastAsia="宋体" w:cs="宋体"/>
                <w:sz w:val="24"/>
                <w:szCs w:val="24"/>
              </w:rPr>
              <w:t>1</w:t>
            </w:r>
            <w:r>
              <w:rPr>
                <w:rFonts w:hint="eastAsia" w:ascii="宋体" w:hAnsi="宋体" w:eastAsia="宋体" w:cs="宋体"/>
                <w:sz w:val="24"/>
                <w:szCs w:val="24"/>
              </w:rPr>
              <w:t>0分；需按要求提供相关证明材料，有一项负偏离扣1分，每▲每一项负偏离扣2分，扣完为止。</w:t>
            </w:r>
          </w:p>
        </w:tc>
      </w:tr>
      <w:tr w14:paraId="06F8B560">
        <w:tblPrEx>
          <w:tblCellMar>
            <w:top w:w="0" w:type="dxa"/>
            <w:left w:w="10" w:type="dxa"/>
            <w:bottom w:w="0" w:type="dxa"/>
            <w:right w:w="10" w:type="dxa"/>
          </w:tblCellMar>
        </w:tblPrEx>
        <w:trPr>
          <w:jc w:val="center"/>
        </w:trPr>
        <w:tc>
          <w:tcPr>
            <w:tcW w:w="1413" w:type="dxa"/>
            <w:vMerge w:val="restart"/>
            <w:tcBorders>
              <w:left w:val="single" w:color="000000" w:sz="4" w:space="0"/>
              <w:right w:val="single" w:color="000000" w:sz="4" w:space="0"/>
            </w:tcBorders>
            <w:shd w:val="clear" w:color="auto" w:fill="auto"/>
            <w:vAlign w:val="center"/>
          </w:tcPr>
          <w:p w14:paraId="787063A5">
            <w:pPr>
              <w:jc w:val="center"/>
              <w:rPr>
                <w:rFonts w:hint="eastAsia" w:ascii="宋体" w:hAnsi="宋体" w:eastAsia="宋体" w:cs="宋体"/>
                <w:sz w:val="24"/>
                <w:szCs w:val="24"/>
              </w:rPr>
            </w:pPr>
            <w:r>
              <w:rPr>
                <w:rFonts w:hint="eastAsia" w:ascii="宋体" w:hAnsi="宋体" w:eastAsia="宋体" w:cs="宋体"/>
                <w:sz w:val="24"/>
                <w:szCs w:val="24"/>
              </w:rPr>
              <w:t>技术部分</w:t>
            </w:r>
          </w:p>
          <w:p w14:paraId="0AABB81E">
            <w:pPr>
              <w:jc w:val="center"/>
              <w:rPr>
                <w:rFonts w:hint="eastAsia" w:ascii="宋体" w:hAnsi="宋体" w:eastAsia="宋体" w:cs="宋体"/>
                <w:sz w:val="24"/>
                <w:szCs w:val="24"/>
              </w:rPr>
            </w:pPr>
            <w:r>
              <w:rPr>
                <w:rFonts w:hint="eastAsia" w:ascii="宋体" w:hAnsi="宋体" w:eastAsia="宋体" w:cs="宋体"/>
                <w:sz w:val="24"/>
                <w:szCs w:val="24"/>
              </w:rPr>
              <w:t>（35分）</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141FDC2B">
            <w:pPr>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实施方案</w:t>
            </w:r>
          </w:p>
          <w:p w14:paraId="6B9A6BC1">
            <w:pPr>
              <w:snapToGrid w:val="0"/>
              <w:jc w:val="center"/>
              <w:rPr>
                <w:rFonts w:hint="eastAsia" w:ascii="宋体" w:hAnsi="宋体" w:eastAsia="宋体" w:cs="宋体"/>
                <w:sz w:val="24"/>
                <w:szCs w:val="24"/>
              </w:rPr>
            </w:pPr>
            <w:r>
              <w:rPr>
                <w:rFonts w:hint="eastAsia" w:ascii="宋体" w:hAnsi="宋体" w:eastAsia="宋体" w:cs="宋体"/>
                <w:kern w:val="0"/>
                <w:sz w:val="24"/>
                <w:szCs w:val="24"/>
              </w:rPr>
              <w:t>（7分）</w:t>
            </w:r>
          </w:p>
        </w:tc>
        <w:tc>
          <w:tcPr>
            <w:tcW w:w="53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6AE5ACE5">
            <w:pPr>
              <w:autoSpaceDE w:val="0"/>
              <w:autoSpaceDN w:val="0"/>
              <w:snapToGrid w:val="0"/>
              <w:rPr>
                <w:rFonts w:hint="eastAsia" w:ascii="宋体" w:hAnsi="宋体" w:eastAsia="宋体"/>
                <w:sz w:val="24"/>
                <w:szCs w:val="24"/>
              </w:rPr>
            </w:pPr>
            <w:r>
              <w:rPr>
                <w:rFonts w:hint="eastAsia" w:ascii="宋体" w:hAnsi="宋体" w:eastAsia="宋体"/>
                <w:sz w:val="24"/>
                <w:szCs w:val="24"/>
              </w:rPr>
              <w:t>根据投标人提供的实施方案进行打分：</w:t>
            </w:r>
          </w:p>
          <w:p w14:paraId="0826B7AB">
            <w:pPr>
              <w:autoSpaceDE w:val="0"/>
              <w:autoSpaceDN w:val="0"/>
              <w:snapToGrid w:val="0"/>
              <w:rPr>
                <w:rFonts w:hint="eastAsia" w:ascii="宋体" w:hAnsi="宋体" w:eastAsia="宋体"/>
                <w:sz w:val="24"/>
                <w:szCs w:val="24"/>
              </w:rPr>
            </w:pPr>
            <w:r>
              <w:rPr>
                <w:rFonts w:hint="eastAsia" w:ascii="宋体" w:hAnsi="宋体" w:eastAsia="宋体"/>
                <w:sz w:val="24"/>
                <w:szCs w:val="24"/>
              </w:rPr>
              <w:t>安装进度安排、质量保证措施进行评分</w:t>
            </w:r>
            <w:r>
              <w:rPr>
                <w:rFonts w:ascii="宋体" w:hAnsi="宋体" w:eastAsia="宋体"/>
                <w:sz w:val="24"/>
                <w:szCs w:val="24"/>
              </w:rPr>
              <w:t>,方案完整详细、进度安排合</w:t>
            </w:r>
            <w:r>
              <w:rPr>
                <w:rFonts w:hint="eastAsia" w:ascii="宋体" w:hAnsi="宋体" w:eastAsia="宋体"/>
                <w:sz w:val="24"/>
                <w:szCs w:val="24"/>
              </w:rPr>
              <w:t>理有序的得7</w:t>
            </w:r>
            <w:r>
              <w:rPr>
                <w:rFonts w:ascii="宋体" w:hAnsi="宋体" w:eastAsia="宋体"/>
                <w:sz w:val="24"/>
                <w:szCs w:val="24"/>
              </w:rPr>
              <w:t>分</w:t>
            </w:r>
            <w:r>
              <w:rPr>
                <w:rFonts w:hint="eastAsia" w:ascii="宋体" w:hAnsi="宋体" w:eastAsia="宋体"/>
                <w:sz w:val="24"/>
                <w:szCs w:val="24"/>
              </w:rPr>
              <w:t>；</w:t>
            </w:r>
          </w:p>
          <w:p w14:paraId="5060D2F1">
            <w:pPr>
              <w:autoSpaceDE w:val="0"/>
              <w:autoSpaceDN w:val="0"/>
              <w:snapToGrid w:val="0"/>
              <w:rPr>
                <w:rFonts w:hint="eastAsia" w:ascii="宋体" w:hAnsi="宋体" w:eastAsia="宋体"/>
                <w:sz w:val="24"/>
                <w:szCs w:val="24"/>
              </w:rPr>
            </w:pPr>
            <w:r>
              <w:rPr>
                <w:rFonts w:ascii="宋体" w:hAnsi="宋体" w:eastAsia="宋体"/>
                <w:sz w:val="24"/>
                <w:szCs w:val="24"/>
              </w:rPr>
              <w:t>方案较完整详细、进度安排较合理有序得</w:t>
            </w:r>
            <w:r>
              <w:rPr>
                <w:rFonts w:hint="eastAsia" w:ascii="宋体" w:hAnsi="宋体" w:eastAsia="宋体"/>
                <w:sz w:val="24"/>
                <w:szCs w:val="24"/>
              </w:rPr>
              <w:t>5</w:t>
            </w:r>
            <w:r>
              <w:rPr>
                <w:rFonts w:ascii="宋体" w:hAnsi="宋体" w:eastAsia="宋体"/>
                <w:sz w:val="24"/>
                <w:szCs w:val="24"/>
              </w:rPr>
              <w:t>分</w:t>
            </w:r>
            <w:r>
              <w:rPr>
                <w:rFonts w:hint="eastAsia" w:ascii="宋体" w:hAnsi="宋体" w:eastAsia="宋体"/>
                <w:sz w:val="24"/>
                <w:szCs w:val="24"/>
              </w:rPr>
              <w:t>；</w:t>
            </w:r>
          </w:p>
          <w:p w14:paraId="2D894DC1">
            <w:pPr>
              <w:autoSpaceDE w:val="0"/>
              <w:autoSpaceDN w:val="0"/>
              <w:snapToGrid w:val="0"/>
              <w:rPr>
                <w:rFonts w:hint="eastAsia" w:ascii="宋体" w:hAnsi="宋体" w:eastAsia="宋体"/>
                <w:sz w:val="24"/>
                <w:szCs w:val="24"/>
              </w:rPr>
            </w:pPr>
            <w:r>
              <w:rPr>
                <w:rFonts w:hint="eastAsia" w:ascii="宋体" w:hAnsi="宋体" w:eastAsia="宋体"/>
                <w:sz w:val="24"/>
                <w:szCs w:val="24"/>
              </w:rPr>
              <w:t>方案不完整不详细</w:t>
            </w:r>
            <w:r>
              <w:rPr>
                <w:rFonts w:ascii="宋体" w:hAnsi="宋体" w:eastAsia="宋体"/>
                <w:sz w:val="24"/>
                <w:szCs w:val="24"/>
              </w:rPr>
              <w:t>,进度安排一般的得</w:t>
            </w:r>
            <w:r>
              <w:rPr>
                <w:rFonts w:hint="eastAsia" w:ascii="宋体" w:hAnsi="宋体" w:eastAsia="宋体"/>
                <w:sz w:val="24"/>
                <w:szCs w:val="24"/>
              </w:rPr>
              <w:t>3</w:t>
            </w:r>
            <w:r>
              <w:rPr>
                <w:rFonts w:ascii="宋体" w:hAnsi="宋体" w:eastAsia="宋体"/>
                <w:sz w:val="24"/>
                <w:szCs w:val="24"/>
              </w:rPr>
              <w:t>分</w:t>
            </w:r>
            <w:r>
              <w:rPr>
                <w:rFonts w:hint="eastAsia" w:ascii="宋体" w:hAnsi="宋体" w:eastAsia="宋体"/>
                <w:sz w:val="24"/>
                <w:szCs w:val="24"/>
              </w:rPr>
              <w:t>；</w:t>
            </w:r>
          </w:p>
          <w:p w14:paraId="0A70083D">
            <w:pPr>
              <w:autoSpaceDE w:val="0"/>
              <w:autoSpaceDN w:val="0"/>
              <w:snapToGrid w:val="0"/>
              <w:rPr>
                <w:rFonts w:hint="eastAsia" w:ascii="宋体" w:hAnsi="宋体" w:eastAsia="宋体"/>
                <w:sz w:val="24"/>
                <w:szCs w:val="24"/>
              </w:rPr>
            </w:pPr>
            <w:r>
              <w:rPr>
                <w:rFonts w:hint="eastAsia" w:ascii="宋体" w:hAnsi="宋体" w:eastAsia="宋体"/>
                <w:sz w:val="24"/>
                <w:szCs w:val="24"/>
              </w:rPr>
              <w:t>未提供不得分。</w:t>
            </w:r>
          </w:p>
        </w:tc>
      </w:tr>
      <w:tr w14:paraId="57FD4248">
        <w:tblPrEx>
          <w:tblCellMar>
            <w:top w:w="0" w:type="dxa"/>
            <w:left w:w="10" w:type="dxa"/>
            <w:bottom w:w="0" w:type="dxa"/>
            <w:right w:w="10" w:type="dxa"/>
          </w:tblCellMar>
        </w:tblPrEx>
        <w:trPr>
          <w:jc w:val="center"/>
        </w:trPr>
        <w:tc>
          <w:tcPr>
            <w:tcW w:w="1413" w:type="dxa"/>
            <w:vMerge w:val="continue"/>
            <w:tcBorders>
              <w:left w:val="single" w:color="000000" w:sz="4" w:space="0"/>
              <w:right w:val="single" w:color="000000" w:sz="4" w:space="0"/>
            </w:tcBorders>
            <w:shd w:val="clear" w:color="auto" w:fill="auto"/>
            <w:vAlign w:val="center"/>
          </w:tcPr>
          <w:p w14:paraId="0E52D39C">
            <w:pPr>
              <w:jc w:val="center"/>
              <w:rPr>
                <w:rFonts w:hint="eastAsia" w:ascii="宋体" w:hAnsi="宋体" w:eastAsia="宋体" w:cs="宋体"/>
                <w:sz w:val="24"/>
                <w:szCs w:val="24"/>
              </w:rPr>
            </w:pP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1A8CAFD6">
            <w:pPr>
              <w:snapToGrid w:val="0"/>
              <w:jc w:val="center"/>
              <w:rPr>
                <w:rFonts w:hint="eastAsia" w:ascii="宋体" w:hAnsi="宋体" w:eastAsia="宋体" w:cs="宋体"/>
                <w:sz w:val="24"/>
                <w:szCs w:val="24"/>
              </w:rPr>
            </w:pPr>
            <w:r>
              <w:rPr>
                <w:rFonts w:hint="eastAsia" w:ascii="宋体" w:hAnsi="宋体" w:eastAsia="宋体" w:cs="宋体"/>
                <w:sz w:val="24"/>
                <w:szCs w:val="24"/>
              </w:rPr>
              <w:t>技术方案</w:t>
            </w:r>
          </w:p>
          <w:p w14:paraId="22426602">
            <w:pPr>
              <w:snapToGrid w:val="0"/>
              <w:jc w:val="center"/>
              <w:rPr>
                <w:rFonts w:hint="eastAsia" w:ascii="宋体" w:hAnsi="宋体" w:eastAsia="宋体" w:cs="宋体"/>
                <w:sz w:val="24"/>
                <w:szCs w:val="24"/>
              </w:rPr>
            </w:pPr>
            <w:r>
              <w:rPr>
                <w:rFonts w:hint="eastAsia" w:ascii="宋体" w:hAnsi="宋体" w:eastAsia="宋体" w:cs="宋体"/>
                <w:sz w:val="24"/>
                <w:szCs w:val="24"/>
              </w:rPr>
              <w:t>（7分）</w:t>
            </w:r>
          </w:p>
        </w:tc>
        <w:tc>
          <w:tcPr>
            <w:tcW w:w="53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4" w:type="dxa"/>
              <w:bottom w:w="0" w:type="dxa"/>
              <w:right w:w="14" w:type="dxa"/>
            </w:tcMar>
            <w:vAlign w:val="center"/>
          </w:tcPr>
          <w:p w14:paraId="68501638">
            <w:pPr>
              <w:autoSpaceDE w:val="0"/>
              <w:autoSpaceDN w:val="0"/>
              <w:snapToGrid w:val="0"/>
              <w:rPr>
                <w:rFonts w:hint="eastAsia" w:ascii="宋体" w:hAnsi="宋体" w:eastAsia="宋体"/>
                <w:sz w:val="24"/>
                <w:szCs w:val="24"/>
              </w:rPr>
            </w:pPr>
            <w:r>
              <w:rPr>
                <w:rFonts w:ascii="宋体" w:hAnsi="宋体" w:eastAsia="宋体"/>
                <w:sz w:val="24"/>
                <w:szCs w:val="24"/>
              </w:rPr>
              <w:t>根据投标人提供的技术方案评分：</w:t>
            </w:r>
          </w:p>
          <w:p w14:paraId="637144B9">
            <w:pPr>
              <w:autoSpaceDE w:val="0"/>
              <w:autoSpaceDN w:val="0"/>
              <w:snapToGrid w:val="0"/>
              <w:rPr>
                <w:rFonts w:hint="eastAsia" w:ascii="宋体" w:hAnsi="宋体" w:eastAsia="宋体"/>
                <w:sz w:val="24"/>
                <w:szCs w:val="24"/>
              </w:rPr>
            </w:pPr>
            <w:r>
              <w:rPr>
                <w:rFonts w:hint="eastAsia" w:ascii="宋体" w:hAnsi="宋体" w:eastAsia="宋体"/>
                <w:sz w:val="24"/>
                <w:szCs w:val="24"/>
              </w:rPr>
              <w:t>技术方案全面合理，扩展性、实用性、规范性、可行性、可靠性较强的得7</w:t>
            </w:r>
            <w:r>
              <w:rPr>
                <w:rFonts w:ascii="宋体" w:hAnsi="宋体" w:eastAsia="宋体"/>
                <w:sz w:val="24"/>
                <w:szCs w:val="24"/>
              </w:rPr>
              <w:t>分；</w:t>
            </w:r>
          </w:p>
          <w:p w14:paraId="0B665A02">
            <w:pPr>
              <w:autoSpaceDE w:val="0"/>
              <w:autoSpaceDN w:val="0"/>
              <w:snapToGrid w:val="0"/>
              <w:rPr>
                <w:rFonts w:hint="eastAsia" w:ascii="宋体" w:hAnsi="宋体" w:eastAsia="宋体"/>
                <w:sz w:val="24"/>
                <w:szCs w:val="24"/>
              </w:rPr>
            </w:pPr>
            <w:r>
              <w:rPr>
                <w:rFonts w:ascii="宋体" w:hAnsi="宋体" w:eastAsia="宋体"/>
                <w:sz w:val="24"/>
                <w:szCs w:val="24"/>
              </w:rPr>
              <w:t>技术方案较为全面合理，扩展性、实用性、规范性、</w:t>
            </w:r>
            <w:r>
              <w:rPr>
                <w:rFonts w:hint="eastAsia" w:ascii="宋体" w:hAnsi="宋体" w:eastAsia="宋体"/>
                <w:sz w:val="24"/>
                <w:szCs w:val="24"/>
              </w:rPr>
              <w:t>可行性、可靠性尚可的得5</w:t>
            </w:r>
            <w:r>
              <w:rPr>
                <w:rFonts w:ascii="宋体" w:hAnsi="宋体" w:eastAsia="宋体"/>
                <w:sz w:val="24"/>
                <w:szCs w:val="24"/>
              </w:rPr>
              <w:t>分</w:t>
            </w:r>
            <w:r>
              <w:rPr>
                <w:rFonts w:hint="eastAsia" w:ascii="宋体" w:hAnsi="宋体" w:eastAsia="宋体"/>
                <w:sz w:val="24"/>
                <w:szCs w:val="24"/>
              </w:rPr>
              <w:t>；</w:t>
            </w:r>
          </w:p>
          <w:p w14:paraId="7097A84F">
            <w:pPr>
              <w:autoSpaceDE w:val="0"/>
              <w:autoSpaceDN w:val="0"/>
              <w:snapToGrid w:val="0"/>
              <w:rPr>
                <w:rFonts w:hint="eastAsia" w:ascii="宋体" w:hAnsi="宋体" w:eastAsia="宋体"/>
                <w:sz w:val="24"/>
                <w:szCs w:val="24"/>
              </w:rPr>
            </w:pPr>
            <w:r>
              <w:rPr>
                <w:rFonts w:ascii="宋体" w:hAnsi="宋体" w:eastAsia="宋体"/>
                <w:sz w:val="24"/>
                <w:szCs w:val="24"/>
              </w:rPr>
              <w:t>技术方案一般，扩展性、实用性、</w:t>
            </w:r>
            <w:r>
              <w:rPr>
                <w:rFonts w:hint="eastAsia" w:ascii="宋体" w:hAnsi="宋体" w:eastAsia="宋体"/>
                <w:sz w:val="24"/>
                <w:szCs w:val="24"/>
              </w:rPr>
              <w:t>规范性、可行性可靠性差的得3</w:t>
            </w:r>
            <w:r>
              <w:rPr>
                <w:rFonts w:ascii="宋体" w:hAnsi="宋体" w:eastAsia="宋体"/>
                <w:sz w:val="24"/>
                <w:szCs w:val="24"/>
              </w:rPr>
              <w:t>分</w:t>
            </w:r>
            <w:r>
              <w:rPr>
                <w:rFonts w:hint="eastAsia" w:ascii="宋体" w:hAnsi="宋体" w:eastAsia="宋体"/>
                <w:sz w:val="24"/>
                <w:szCs w:val="24"/>
              </w:rPr>
              <w:t>；</w:t>
            </w:r>
          </w:p>
          <w:p w14:paraId="0520D7A3">
            <w:pPr>
              <w:autoSpaceDE w:val="0"/>
              <w:autoSpaceDN w:val="0"/>
              <w:snapToGrid w:val="0"/>
              <w:rPr>
                <w:rFonts w:hint="eastAsia" w:ascii="宋体" w:hAnsi="宋体" w:eastAsia="宋体"/>
                <w:sz w:val="24"/>
                <w:szCs w:val="24"/>
              </w:rPr>
            </w:pPr>
            <w:r>
              <w:rPr>
                <w:rFonts w:hint="eastAsia" w:ascii="宋体" w:hAnsi="宋体" w:eastAsia="宋体"/>
                <w:sz w:val="24"/>
                <w:szCs w:val="24"/>
              </w:rPr>
              <w:t>未提供或不符合本次现场情况不得分。</w:t>
            </w:r>
          </w:p>
        </w:tc>
      </w:tr>
      <w:tr w14:paraId="121EDBF1">
        <w:tblPrEx>
          <w:tblCellMar>
            <w:top w:w="0" w:type="dxa"/>
            <w:left w:w="10" w:type="dxa"/>
            <w:bottom w:w="0" w:type="dxa"/>
            <w:right w:w="10" w:type="dxa"/>
          </w:tblCellMar>
        </w:tblPrEx>
        <w:trPr>
          <w:jc w:val="center"/>
        </w:trPr>
        <w:tc>
          <w:tcPr>
            <w:tcW w:w="1413" w:type="dxa"/>
            <w:vMerge w:val="continue"/>
            <w:tcBorders>
              <w:left w:val="single" w:color="000000" w:sz="4" w:space="0"/>
              <w:bottom w:val="nil"/>
              <w:right w:val="single" w:color="000000" w:sz="4" w:space="0"/>
            </w:tcBorders>
            <w:shd w:val="clear" w:color="auto" w:fill="auto"/>
            <w:vAlign w:val="center"/>
          </w:tcPr>
          <w:p w14:paraId="29E4BB98">
            <w:pPr>
              <w:ind w:firstLine="420"/>
              <w:jc w:val="center"/>
              <w:rPr>
                <w:rFonts w:hint="eastAsia" w:ascii="宋体" w:hAnsi="宋体" w:eastAsia="宋体" w:cs="宋体"/>
                <w:kern w:val="0"/>
                <w:sz w:val="24"/>
                <w:szCs w:val="24"/>
              </w:rPr>
            </w:pPr>
          </w:p>
        </w:tc>
        <w:tc>
          <w:tcPr>
            <w:tcW w:w="1559" w:type="dxa"/>
            <w:tcBorders>
              <w:top w:val="single" w:color="000000" w:sz="4" w:space="0"/>
              <w:left w:val="single" w:color="000000" w:sz="4" w:space="0"/>
              <w:bottom w:val="nil"/>
              <w:right w:val="single" w:color="000000" w:sz="4" w:space="0"/>
            </w:tcBorders>
            <w:shd w:val="clear" w:color="auto" w:fill="FFFFFF"/>
            <w:tcMar>
              <w:top w:w="0" w:type="dxa"/>
              <w:left w:w="14" w:type="dxa"/>
              <w:bottom w:w="0" w:type="dxa"/>
              <w:right w:w="14" w:type="dxa"/>
            </w:tcMar>
            <w:vAlign w:val="center"/>
          </w:tcPr>
          <w:p w14:paraId="05E03FE8">
            <w:pPr>
              <w:snapToGrid w:val="0"/>
              <w:jc w:val="center"/>
              <w:rPr>
                <w:rFonts w:hint="eastAsia" w:ascii="宋体" w:hAnsi="宋体" w:eastAsia="宋体" w:cs="宋体"/>
                <w:kern w:val="0"/>
                <w:sz w:val="24"/>
                <w:szCs w:val="24"/>
              </w:rPr>
            </w:pPr>
            <w:r>
              <w:rPr>
                <w:rFonts w:hint="eastAsia" w:ascii="宋体" w:hAnsi="宋体" w:eastAsia="宋体" w:cs="宋体"/>
                <w:kern w:val="0"/>
                <w:sz w:val="24"/>
                <w:szCs w:val="24"/>
              </w:rPr>
              <w:t>售后服务承诺（7分）</w:t>
            </w:r>
          </w:p>
        </w:tc>
        <w:tc>
          <w:tcPr>
            <w:tcW w:w="5318" w:type="dxa"/>
            <w:tcBorders>
              <w:top w:val="single" w:color="000000" w:sz="4" w:space="0"/>
              <w:left w:val="single" w:color="000000" w:sz="4" w:space="0"/>
              <w:bottom w:val="nil"/>
              <w:right w:val="single" w:color="000000" w:sz="4" w:space="0"/>
            </w:tcBorders>
            <w:shd w:val="clear" w:color="auto" w:fill="FFFFFF"/>
            <w:tcMar>
              <w:top w:w="0" w:type="dxa"/>
              <w:left w:w="14" w:type="dxa"/>
              <w:bottom w:w="0" w:type="dxa"/>
              <w:right w:w="14" w:type="dxa"/>
            </w:tcMar>
            <w:vAlign w:val="center"/>
          </w:tcPr>
          <w:p w14:paraId="7E22A4F2">
            <w:pPr>
              <w:autoSpaceDE w:val="0"/>
              <w:autoSpaceDN w:val="0"/>
              <w:snapToGrid w:val="0"/>
              <w:rPr>
                <w:rFonts w:hint="eastAsia" w:ascii="宋体" w:hAnsi="宋体" w:eastAsia="宋体" w:cs="宋体"/>
                <w:kern w:val="0"/>
                <w:sz w:val="24"/>
                <w:szCs w:val="24"/>
              </w:rPr>
            </w:pPr>
            <w:r>
              <w:rPr>
                <w:rFonts w:hint="eastAsia" w:ascii="宋体" w:hAnsi="宋体" w:eastAsia="宋体" w:cs="宋体"/>
                <w:kern w:val="0"/>
                <w:sz w:val="24"/>
                <w:szCs w:val="24"/>
              </w:rPr>
              <w:t>根据投标人提供的售后保障服务计划、售后服务效率、故障解决方案等方面综合评分：售后服务方案完善全面、科学规范、有可操作性的，得7分；售后服务方案较为完善全面、科学规范、可操作性较强的，得5分；售后服务方案内容均有涉及但有较大漏洞的，得3分；没有相关内容的，得0分。</w:t>
            </w:r>
          </w:p>
        </w:tc>
      </w:tr>
      <w:tr w14:paraId="0FDA596B">
        <w:tblPrEx>
          <w:tblCellMar>
            <w:top w:w="0" w:type="dxa"/>
            <w:left w:w="10" w:type="dxa"/>
            <w:bottom w:w="0" w:type="dxa"/>
            <w:right w:w="10" w:type="dxa"/>
          </w:tblCellMar>
        </w:tblPrEx>
        <w:trPr>
          <w:trHeight w:val="1255" w:hRule="atLeast"/>
          <w:jc w:val="center"/>
        </w:trPr>
        <w:tc>
          <w:tcPr>
            <w:tcW w:w="1413" w:type="dxa"/>
            <w:vMerge w:val="restart"/>
            <w:tcBorders>
              <w:top w:val="single" w:color="auto" w:sz="4" w:space="0"/>
              <w:left w:val="single" w:color="000000" w:sz="4" w:space="0"/>
              <w:bottom w:val="nil"/>
              <w:right w:val="single" w:color="000000" w:sz="4" w:space="0"/>
            </w:tcBorders>
            <w:shd w:val="clear" w:color="auto" w:fill="auto"/>
            <w:vAlign w:val="center"/>
          </w:tcPr>
          <w:p w14:paraId="6C70873C">
            <w:pPr>
              <w:jc w:val="center"/>
              <w:rPr>
                <w:rFonts w:hint="eastAsia" w:ascii="宋体" w:hAnsi="宋体" w:eastAsia="宋体" w:cs="宋体"/>
                <w:sz w:val="24"/>
                <w:szCs w:val="24"/>
              </w:rPr>
            </w:pPr>
            <w:r>
              <w:rPr>
                <w:rFonts w:hint="eastAsia" w:ascii="宋体" w:hAnsi="宋体" w:eastAsia="宋体" w:cs="宋体"/>
                <w:sz w:val="24"/>
                <w:szCs w:val="24"/>
              </w:rPr>
              <w:t>商务部分</w:t>
            </w:r>
          </w:p>
          <w:p w14:paraId="44E86220">
            <w:pPr>
              <w:jc w:val="center"/>
              <w:rPr>
                <w:rFonts w:hint="eastAsia" w:ascii="宋体" w:hAnsi="宋体" w:eastAsia="宋体" w:cs="宋体"/>
                <w:kern w:val="0"/>
                <w:sz w:val="24"/>
                <w:szCs w:val="24"/>
              </w:rPr>
            </w:pPr>
            <w:r>
              <w:rPr>
                <w:rFonts w:hint="eastAsia" w:ascii="宋体" w:hAnsi="宋体" w:eastAsia="宋体" w:cs="宋体"/>
                <w:sz w:val="24"/>
                <w:szCs w:val="24"/>
              </w:rPr>
              <w:t>（15分）</w:t>
            </w:r>
          </w:p>
        </w:tc>
        <w:tc>
          <w:tcPr>
            <w:tcW w:w="1559" w:type="dxa"/>
            <w:tcBorders>
              <w:top w:val="single" w:color="000000" w:sz="4" w:space="0"/>
              <w:left w:val="single" w:color="000000" w:sz="4" w:space="0"/>
              <w:bottom w:val="single" w:color="auto" w:sz="4" w:space="0"/>
              <w:right w:val="single" w:color="000000" w:sz="4" w:space="0"/>
            </w:tcBorders>
            <w:shd w:val="clear" w:color="auto" w:fill="FFFFFF"/>
            <w:tcMar>
              <w:top w:w="0" w:type="dxa"/>
              <w:left w:w="14" w:type="dxa"/>
              <w:bottom w:w="0" w:type="dxa"/>
              <w:right w:w="14" w:type="dxa"/>
            </w:tcMar>
            <w:vAlign w:val="center"/>
          </w:tcPr>
          <w:p w14:paraId="22093A99">
            <w:pPr>
              <w:jc w:val="center"/>
              <w:rPr>
                <w:rFonts w:hint="eastAsia" w:ascii="宋体" w:hAnsi="宋体" w:eastAsia="宋体" w:cs="宋体"/>
                <w:kern w:val="0"/>
                <w:sz w:val="24"/>
                <w:szCs w:val="24"/>
              </w:rPr>
            </w:pPr>
            <w:r>
              <w:rPr>
                <w:rFonts w:hint="eastAsia" w:ascii="宋体" w:hAnsi="宋体" w:eastAsia="宋体" w:cs="宋体"/>
                <w:kern w:val="0"/>
                <w:sz w:val="24"/>
                <w:szCs w:val="24"/>
              </w:rPr>
              <w:t>投标人实力（3分）</w:t>
            </w:r>
          </w:p>
        </w:tc>
        <w:tc>
          <w:tcPr>
            <w:tcW w:w="5318" w:type="dxa"/>
            <w:tcBorders>
              <w:top w:val="single" w:color="000000" w:sz="4" w:space="0"/>
              <w:left w:val="single" w:color="000000" w:sz="4" w:space="0"/>
              <w:bottom w:val="single" w:color="auto" w:sz="4" w:space="0"/>
              <w:right w:val="single" w:color="000000" w:sz="4" w:space="0"/>
            </w:tcBorders>
            <w:shd w:val="clear" w:color="auto" w:fill="FFFFFF"/>
            <w:tcMar>
              <w:top w:w="0" w:type="dxa"/>
              <w:left w:w="14" w:type="dxa"/>
              <w:bottom w:w="0" w:type="dxa"/>
              <w:right w:w="14" w:type="dxa"/>
            </w:tcMar>
            <w:vAlign w:val="center"/>
          </w:tcPr>
          <w:p w14:paraId="5719B24F">
            <w:pPr>
              <w:rPr>
                <w:rFonts w:hint="eastAsia" w:ascii="宋体" w:hAnsi="宋体" w:eastAsia="宋体" w:cs="宋体"/>
                <w:kern w:val="0"/>
                <w:sz w:val="24"/>
                <w:szCs w:val="24"/>
              </w:rPr>
            </w:pPr>
            <w:r>
              <w:rPr>
                <w:rFonts w:hint="eastAsia" w:ascii="宋体" w:hAnsi="宋体" w:eastAsia="宋体" w:cs="宋体"/>
                <w:kern w:val="0"/>
                <w:sz w:val="24"/>
                <w:szCs w:val="24"/>
              </w:rPr>
              <w:t>投标人具有：信息技术服务管理体系认证证书、信息技术服务运行维护（ITSS）三级及以上、信息安全服务资质证书，每提供一个得1分，本项最高得3分。（提供证书复印件，并加盖公章。）</w:t>
            </w:r>
          </w:p>
        </w:tc>
      </w:tr>
      <w:tr w14:paraId="2B57B53E">
        <w:tblPrEx>
          <w:tblCellMar>
            <w:top w:w="0" w:type="dxa"/>
            <w:left w:w="10" w:type="dxa"/>
            <w:bottom w:w="0" w:type="dxa"/>
            <w:right w:w="10" w:type="dxa"/>
          </w:tblCellMar>
        </w:tblPrEx>
        <w:trPr>
          <w:trHeight w:val="4679" w:hRule="atLeast"/>
          <w:jc w:val="center"/>
        </w:trPr>
        <w:tc>
          <w:tcPr>
            <w:tcW w:w="1413" w:type="dxa"/>
            <w:vMerge w:val="continue"/>
            <w:tcBorders>
              <w:left w:val="single" w:color="000000" w:sz="4" w:space="0"/>
              <w:right w:val="single" w:color="000000" w:sz="4" w:space="0"/>
            </w:tcBorders>
            <w:shd w:val="clear" w:color="auto" w:fill="auto"/>
            <w:vAlign w:val="center"/>
          </w:tcPr>
          <w:p w14:paraId="6D30BD67">
            <w:pPr>
              <w:jc w:val="center"/>
              <w:rPr>
                <w:rFonts w:hint="eastAsia" w:ascii="宋体" w:hAnsi="宋体" w:eastAsia="宋体" w:cs="宋体"/>
                <w:sz w:val="24"/>
                <w:szCs w:val="24"/>
              </w:rPr>
            </w:pPr>
          </w:p>
        </w:tc>
        <w:tc>
          <w:tcPr>
            <w:tcW w:w="1559" w:type="dxa"/>
            <w:tcBorders>
              <w:top w:val="single" w:color="auto" w:sz="4" w:space="0"/>
              <w:left w:val="single" w:color="000000" w:sz="4" w:space="0"/>
              <w:bottom w:val="single" w:color="auto" w:sz="4" w:space="0"/>
              <w:right w:val="single" w:color="auto" w:sz="4" w:space="0"/>
            </w:tcBorders>
            <w:shd w:val="clear" w:color="auto" w:fill="FFFFFF"/>
            <w:tcMar>
              <w:top w:w="0" w:type="dxa"/>
              <w:left w:w="14" w:type="dxa"/>
              <w:bottom w:w="0" w:type="dxa"/>
              <w:right w:w="14" w:type="dxa"/>
            </w:tcMar>
            <w:vAlign w:val="center"/>
          </w:tcPr>
          <w:p w14:paraId="01DF0EE2">
            <w:pPr>
              <w:jc w:val="center"/>
              <w:rPr>
                <w:rFonts w:hint="eastAsia" w:ascii="宋体" w:hAnsi="宋体" w:eastAsia="宋体" w:cs="宋体"/>
                <w:sz w:val="24"/>
                <w:szCs w:val="24"/>
              </w:rPr>
            </w:pPr>
            <w:r>
              <w:rPr>
                <w:rFonts w:hint="eastAsia" w:ascii="宋体" w:hAnsi="宋体" w:eastAsia="宋体" w:cs="宋体"/>
                <w:sz w:val="24"/>
                <w:szCs w:val="24"/>
              </w:rPr>
              <w:t>项目团队人员（4分）</w:t>
            </w:r>
          </w:p>
        </w:tc>
        <w:tc>
          <w:tcPr>
            <w:tcW w:w="5318" w:type="dxa"/>
            <w:tcBorders>
              <w:top w:val="single" w:color="auto" w:sz="4" w:space="0"/>
              <w:left w:val="single" w:color="auto" w:sz="4" w:space="0"/>
              <w:bottom w:val="single" w:color="auto" w:sz="4" w:space="0"/>
              <w:right w:val="single" w:color="auto" w:sz="4" w:space="0"/>
            </w:tcBorders>
            <w:shd w:val="clear" w:color="auto" w:fill="FFFFFF"/>
            <w:tcMar>
              <w:top w:w="0" w:type="dxa"/>
              <w:left w:w="14" w:type="dxa"/>
              <w:bottom w:w="0" w:type="dxa"/>
              <w:right w:w="14" w:type="dxa"/>
            </w:tcMar>
            <w:vAlign w:val="center"/>
          </w:tcPr>
          <w:p w14:paraId="4DFFC0C4">
            <w:pPr>
              <w:rPr>
                <w:rFonts w:hint="eastAsia" w:ascii="宋体" w:hAnsi="宋体" w:eastAsia="宋体"/>
                <w:sz w:val="24"/>
                <w:szCs w:val="24"/>
              </w:rPr>
            </w:pPr>
            <w:r>
              <w:rPr>
                <w:rFonts w:hint="eastAsia" w:ascii="宋体" w:hAnsi="宋体" w:eastAsia="宋体"/>
                <w:sz w:val="24"/>
                <w:szCs w:val="24"/>
              </w:rPr>
              <w:t>根据投标人对本项目所安排的人员技术力量进行打分：</w:t>
            </w:r>
          </w:p>
          <w:p w14:paraId="67930D6C">
            <w:pPr>
              <w:rPr>
                <w:rFonts w:hint="eastAsia" w:ascii="宋体" w:hAnsi="宋体" w:eastAsia="宋体"/>
                <w:sz w:val="24"/>
                <w:szCs w:val="24"/>
              </w:rPr>
            </w:pPr>
            <w:r>
              <w:rPr>
                <w:rFonts w:hint="eastAsia" w:ascii="宋体" w:hAnsi="宋体" w:eastAsia="宋体"/>
                <w:sz w:val="24"/>
                <w:szCs w:val="24"/>
              </w:rPr>
              <w:t>（1）投标人对于本项目拟配备的调试技术人员中具有类似本次项目光网技术实施经验的，有一个项目经验得1分，满分2分。（需提供工程师2024年4月-2024年9月单位为其缴纳社保的证明，不提供不得分。）</w:t>
            </w:r>
          </w:p>
          <w:p w14:paraId="0F76C97F">
            <w:pPr>
              <w:rPr>
                <w:rFonts w:hint="eastAsia" w:ascii="宋体" w:hAnsi="宋体" w:eastAsia="宋体"/>
                <w:sz w:val="24"/>
                <w:szCs w:val="24"/>
              </w:rPr>
            </w:pPr>
            <w:r>
              <w:rPr>
                <w:rFonts w:hint="eastAsia" w:ascii="宋体" w:hAnsi="宋体" w:eastAsia="宋体"/>
                <w:sz w:val="24"/>
                <w:szCs w:val="24"/>
              </w:rPr>
              <w:t>（2）投标人对于本项目拟配备的调试技术人员中具有类似本次项目无线网络技术实施经验的，有一个项目经验得1分，满分2分。（提供工程师2024年4月-2024年9月单位为其缴纳社保的证明，不提供不得分。）</w:t>
            </w:r>
          </w:p>
          <w:p w14:paraId="7D0E5ECC">
            <w:pPr>
              <w:rPr>
                <w:rFonts w:hint="eastAsia" w:ascii="宋体" w:hAnsi="宋体" w:eastAsia="宋体"/>
                <w:color w:val="000000"/>
                <w:sz w:val="24"/>
                <w:szCs w:val="24"/>
              </w:rPr>
            </w:pPr>
            <w:r>
              <w:rPr>
                <w:rFonts w:hint="eastAsia" w:ascii="宋体" w:hAnsi="宋体" w:eastAsia="宋体"/>
                <w:sz w:val="24"/>
                <w:szCs w:val="24"/>
              </w:rPr>
              <w:t>备注：提供人员列表原件及相关证明材料加盖公章，格式详见附件。</w:t>
            </w:r>
          </w:p>
        </w:tc>
      </w:tr>
      <w:tr w14:paraId="151104A3">
        <w:tblPrEx>
          <w:tblCellMar>
            <w:top w:w="0" w:type="dxa"/>
            <w:left w:w="10" w:type="dxa"/>
            <w:bottom w:w="0" w:type="dxa"/>
            <w:right w:w="10" w:type="dxa"/>
          </w:tblCellMar>
        </w:tblPrEx>
        <w:trPr>
          <w:trHeight w:val="1255" w:hRule="atLeast"/>
          <w:jc w:val="center"/>
        </w:trPr>
        <w:tc>
          <w:tcPr>
            <w:tcW w:w="1413" w:type="dxa"/>
            <w:vMerge w:val="continue"/>
            <w:tcBorders>
              <w:left w:val="single" w:color="000000" w:sz="4" w:space="0"/>
              <w:bottom w:val="single" w:color="auto" w:sz="4" w:space="0"/>
              <w:right w:val="single" w:color="000000" w:sz="4" w:space="0"/>
            </w:tcBorders>
            <w:shd w:val="clear" w:color="auto" w:fill="auto"/>
            <w:vAlign w:val="center"/>
          </w:tcPr>
          <w:p w14:paraId="742D4EA3">
            <w:pPr>
              <w:jc w:val="center"/>
              <w:rPr>
                <w:rFonts w:hint="eastAsia" w:ascii="宋体" w:hAnsi="宋体" w:eastAsia="宋体" w:cs="宋体"/>
                <w:sz w:val="24"/>
                <w:szCs w:val="24"/>
              </w:rPr>
            </w:pPr>
          </w:p>
        </w:tc>
        <w:tc>
          <w:tcPr>
            <w:tcW w:w="1559" w:type="dxa"/>
            <w:tcBorders>
              <w:top w:val="single" w:color="auto" w:sz="4" w:space="0"/>
              <w:left w:val="single" w:color="000000" w:sz="4" w:space="0"/>
              <w:bottom w:val="single" w:color="auto" w:sz="4" w:space="0"/>
              <w:right w:val="single" w:color="auto" w:sz="4" w:space="0"/>
            </w:tcBorders>
            <w:shd w:val="clear" w:color="auto" w:fill="FFFFFF"/>
            <w:tcMar>
              <w:top w:w="0" w:type="dxa"/>
              <w:left w:w="14" w:type="dxa"/>
              <w:bottom w:w="0" w:type="dxa"/>
              <w:right w:w="14" w:type="dxa"/>
            </w:tcMar>
            <w:vAlign w:val="center"/>
          </w:tcPr>
          <w:p w14:paraId="092EC79E">
            <w:pPr>
              <w:jc w:val="center"/>
              <w:rPr>
                <w:rFonts w:hint="eastAsia" w:ascii="宋体" w:hAnsi="宋体" w:eastAsia="宋体" w:cs="宋体"/>
                <w:sz w:val="24"/>
                <w:szCs w:val="24"/>
              </w:rPr>
            </w:pPr>
            <w:r>
              <w:rPr>
                <w:rFonts w:hint="eastAsia" w:ascii="宋体" w:hAnsi="宋体" w:eastAsia="宋体" w:cs="宋体"/>
                <w:sz w:val="24"/>
                <w:szCs w:val="24"/>
              </w:rPr>
              <w:t>业绩（8分）</w:t>
            </w:r>
          </w:p>
        </w:tc>
        <w:tc>
          <w:tcPr>
            <w:tcW w:w="5318" w:type="dxa"/>
            <w:tcBorders>
              <w:top w:val="single" w:color="auto" w:sz="4" w:space="0"/>
              <w:left w:val="single" w:color="auto" w:sz="4" w:space="0"/>
              <w:bottom w:val="single" w:color="auto" w:sz="4" w:space="0"/>
              <w:right w:val="single" w:color="auto" w:sz="4" w:space="0"/>
            </w:tcBorders>
            <w:shd w:val="clear" w:color="auto" w:fill="FFFFFF"/>
            <w:tcMar>
              <w:top w:w="0" w:type="dxa"/>
              <w:left w:w="14" w:type="dxa"/>
              <w:bottom w:w="0" w:type="dxa"/>
              <w:right w:w="14" w:type="dxa"/>
            </w:tcMar>
            <w:vAlign w:val="center"/>
          </w:tcPr>
          <w:p w14:paraId="62ACAA60">
            <w:pPr>
              <w:rPr>
                <w:rFonts w:hint="eastAsia" w:ascii="宋体" w:hAnsi="宋体" w:eastAsia="宋体"/>
                <w:sz w:val="24"/>
                <w:szCs w:val="24"/>
              </w:rPr>
            </w:pPr>
            <w:r>
              <w:rPr>
                <w:rFonts w:hint="eastAsia" w:ascii="宋体" w:hAnsi="宋体" w:eastAsia="宋体"/>
                <w:sz w:val="24"/>
                <w:szCs w:val="24"/>
              </w:rPr>
              <w:t>投标人自</w:t>
            </w:r>
            <w:r>
              <w:rPr>
                <w:rFonts w:ascii="宋体" w:hAnsi="宋体" w:eastAsia="宋体"/>
                <w:sz w:val="24"/>
                <w:szCs w:val="24"/>
              </w:rPr>
              <w:t>202</w:t>
            </w:r>
            <w:r>
              <w:rPr>
                <w:rFonts w:hint="eastAsia" w:ascii="宋体" w:hAnsi="宋体" w:eastAsia="宋体"/>
                <w:sz w:val="24"/>
                <w:szCs w:val="24"/>
              </w:rPr>
              <w:t>1</w:t>
            </w:r>
            <w:r>
              <w:rPr>
                <w:rFonts w:ascii="宋体" w:hAnsi="宋体" w:eastAsia="宋体"/>
                <w:sz w:val="24"/>
                <w:szCs w:val="24"/>
              </w:rPr>
              <w:t>年1月1日</w:t>
            </w:r>
            <w:r>
              <w:rPr>
                <w:rFonts w:hint="eastAsia" w:ascii="宋体" w:hAnsi="宋体" w:eastAsia="宋体"/>
                <w:sz w:val="24"/>
                <w:szCs w:val="24"/>
              </w:rPr>
              <w:t>及</w:t>
            </w:r>
            <w:r>
              <w:rPr>
                <w:rFonts w:ascii="宋体" w:hAnsi="宋体" w:eastAsia="宋体"/>
                <w:sz w:val="24"/>
                <w:szCs w:val="24"/>
              </w:rPr>
              <w:t>以来，承接过</w:t>
            </w:r>
            <w:r>
              <w:rPr>
                <w:rFonts w:hint="eastAsia" w:ascii="宋体" w:hAnsi="宋体" w:eastAsia="宋体"/>
                <w:sz w:val="24"/>
                <w:szCs w:val="24"/>
              </w:rPr>
              <w:t>同类光网项目的成功案例，</w:t>
            </w:r>
            <w:r>
              <w:rPr>
                <w:rFonts w:ascii="宋体" w:hAnsi="宋体" w:eastAsia="宋体"/>
                <w:sz w:val="24"/>
                <w:szCs w:val="24"/>
              </w:rPr>
              <w:t>每具有一个得</w:t>
            </w:r>
            <w:r>
              <w:rPr>
                <w:rFonts w:hint="eastAsia" w:ascii="宋体" w:hAnsi="宋体" w:eastAsia="宋体"/>
                <w:sz w:val="24"/>
                <w:szCs w:val="24"/>
              </w:rPr>
              <w:t>2</w:t>
            </w:r>
            <w:r>
              <w:rPr>
                <w:rFonts w:ascii="宋体" w:hAnsi="宋体" w:eastAsia="宋体"/>
                <w:sz w:val="24"/>
                <w:szCs w:val="24"/>
              </w:rPr>
              <w:t>分</w:t>
            </w:r>
            <w:r>
              <w:rPr>
                <w:rFonts w:hint="eastAsia" w:ascii="宋体" w:hAnsi="宋体" w:eastAsia="宋体"/>
                <w:sz w:val="24"/>
                <w:szCs w:val="24"/>
              </w:rPr>
              <w:t>，</w:t>
            </w:r>
            <w:r>
              <w:rPr>
                <w:rFonts w:ascii="宋体" w:hAnsi="宋体" w:eastAsia="宋体"/>
                <w:bCs/>
                <w:sz w:val="24"/>
                <w:szCs w:val="24"/>
              </w:rPr>
              <w:t>本项最高</w:t>
            </w:r>
            <w:r>
              <w:rPr>
                <w:rFonts w:hint="eastAsia" w:ascii="宋体" w:hAnsi="宋体" w:eastAsia="宋体"/>
                <w:bCs/>
                <w:sz w:val="24"/>
                <w:szCs w:val="24"/>
              </w:rPr>
              <w:t>得8</w:t>
            </w:r>
            <w:r>
              <w:rPr>
                <w:rFonts w:ascii="宋体" w:hAnsi="宋体" w:eastAsia="宋体"/>
                <w:bCs/>
                <w:sz w:val="24"/>
                <w:szCs w:val="24"/>
              </w:rPr>
              <w:t>分</w:t>
            </w:r>
            <w:r>
              <w:rPr>
                <w:rFonts w:hint="eastAsia" w:ascii="宋体" w:hAnsi="宋体" w:eastAsia="宋体"/>
                <w:bCs/>
                <w:sz w:val="24"/>
                <w:szCs w:val="24"/>
              </w:rPr>
              <w:t>。（提供合同复印件并加盖公章。）</w:t>
            </w:r>
          </w:p>
        </w:tc>
      </w:tr>
    </w:tbl>
    <w:p w14:paraId="2DEAE452">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6" w:name="_Toc179553570"/>
      <w:bookmarkStart w:id="7" w:name="_Toc48546591"/>
      <w:bookmarkStart w:id="8" w:name="_Toc65592703"/>
      <w:r>
        <w:rPr>
          <w:rFonts w:hint="eastAsia" w:ascii="宋体" w:hAnsi="宋体" w:eastAsia="宋体" w:cs="宋体"/>
          <w:b/>
          <w:bCs/>
          <w:kern w:val="0"/>
          <w:sz w:val="36"/>
          <w:szCs w:val="36"/>
        </w:rPr>
        <w:t>第四章 项目需求</w:t>
      </w:r>
      <w:bookmarkEnd w:id="6"/>
      <w:bookmarkEnd w:id="7"/>
      <w:bookmarkEnd w:id="8"/>
    </w:p>
    <w:p w14:paraId="59987596">
      <w:pPr>
        <w:adjustRightInd w:val="0"/>
        <w:snapToGrid w:val="0"/>
        <w:spacing w:line="360" w:lineRule="auto"/>
        <w:rPr>
          <w:rFonts w:hint="eastAsia" w:ascii="宋体" w:hAnsi="宋体" w:eastAsia="宋体"/>
          <w:b/>
          <w:bCs/>
          <w:sz w:val="24"/>
          <w:szCs w:val="24"/>
        </w:rPr>
      </w:pPr>
      <w:r>
        <w:rPr>
          <w:rFonts w:hint="eastAsia" w:ascii="宋体" w:hAnsi="宋体" w:eastAsia="宋体"/>
          <w:b/>
          <w:bCs/>
          <w:sz w:val="24"/>
          <w:szCs w:val="24"/>
        </w:rPr>
        <w:t>项目名称：</w:t>
      </w:r>
      <w:r>
        <w:rPr>
          <w:rFonts w:hint="eastAsia" w:ascii="宋体" w:hAnsi="宋体" w:eastAsia="宋体"/>
          <w:sz w:val="24"/>
          <w:szCs w:val="24"/>
        </w:rPr>
        <w:t>金审学院楼宇校园光网增补扩建项目</w:t>
      </w:r>
    </w:p>
    <w:p w14:paraId="48E3F061">
      <w:pPr>
        <w:adjustRightInd w:val="0"/>
        <w:snapToGrid w:val="0"/>
        <w:spacing w:line="360" w:lineRule="auto"/>
        <w:rPr>
          <w:rFonts w:hint="eastAsia" w:ascii="宋体" w:hAnsi="宋体" w:eastAsia="宋体"/>
          <w:sz w:val="24"/>
          <w:szCs w:val="24"/>
        </w:rPr>
      </w:pPr>
      <w:r>
        <w:rPr>
          <w:rFonts w:hint="eastAsia" w:ascii="宋体" w:hAnsi="宋体" w:eastAsia="宋体"/>
          <w:b/>
          <w:bCs/>
          <w:sz w:val="24"/>
          <w:szCs w:val="24"/>
        </w:rPr>
        <w:t>项目内容：</w:t>
      </w:r>
      <w:r>
        <w:rPr>
          <w:rFonts w:hint="eastAsia" w:ascii="宋体" w:hAnsi="宋体" w:eastAsia="宋体"/>
          <w:sz w:val="24"/>
          <w:szCs w:val="24"/>
        </w:rPr>
        <w:t>为了配套1#宿舍、6#宿舍、一站式服务中心、教学C西、C北、行政楼、8号宿舍改教室、快递驿站、商业街等项目的实施，需要进行无线网络的安装和线路的敷设。</w:t>
      </w:r>
    </w:p>
    <w:p w14:paraId="6B89A0DD">
      <w:pPr>
        <w:adjustRightInd w:val="0"/>
        <w:snapToGrid w:val="0"/>
        <w:spacing w:line="360" w:lineRule="auto"/>
        <w:rPr>
          <w:rFonts w:hint="eastAsia" w:ascii="宋体" w:hAnsi="宋体" w:eastAsia="宋体"/>
          <w:sz w:val="24"/>
          <w:szCs w:val="24"/>
        </w:rPr>
      </w:pPr>
      <w:r>
        <w:rPr>
          <w:rFonts w:hint="eastAsia" w:ascii="宋体" w:hAnsi="宋体" w:eastAsia="宋体"/>
          <w:b/>
          <w:bCs/>
          <w:sz w:val="24"/>
          <w:szCs w:val="24"/>
        </w:rPr>
        <w:t>项目地点：</w:t>
      </w:r>
      <w:r>
        <w:rPr>
          <w:rFonts w:hint="eastAsia" w:ascii="宋体" w:hAnsi="宋体" w:eastAsia="宋体"/>
          <w:sz w:val="24"/>
          <w:szCs w:val="24"/>
        </w:rPr>
        <w:t>南京市栖霞区仙林大道100号内</w:t>
      </w:r>
    </w:p>
    <w:p w14:paraId="19ED2025">
      <w:pPr>
        <w:adjustRightInd w:val="0"/>
        <w:snapToGrid w:val="0"/>
        <w:spacing w:line="360" w:lineRule="auto"/>
        <w:rPr>
          <w:rFonts w:hint="eastAsia" w:ascii="宋体" w:hAnsi="宋体" w:eastAsia="宋体"/>
          <w:sz w:val="24"/>
          <w:szCs w:val="24"/>
        </w:rPr>
      </w:pPr>
      <w:r>
        <w:rPr>
          <w:rFonts w:hint="eastAsia" w:ascii="宋体" w:hAnsi="宋体" w:eastAsia="宋体"/>
          <w:b/>
          <w:bCs/>
          <w:sz w:val="24"/>
          <w:szCs w:val="24"/>
        </w:rPr>
        <w:t>交货期：</w:t>
      </w:r>
      <w:r>
        <w:rPr>
          <w:rFonts w:hint="eastAsia" w:ascii="宋体" w:hAnsi="宋体" w:eastAsia="宋体"/>
          <w:sz w:val="24"/>
          <w:szCs w:val="24"/>
        </w:rPr>
        <w:t>按照采购人的项目进度，分批次施工，每一批次施工工期为20天。</w:t>
      </w:r>
    </w:p>
    <w:p w14:paraId="38F6E79C">
      <w:pPr>
        <w:spacing w:line="360" w:lineRule="auto"/>
        <w:rPr>
          <w:rFonts w:hint="eastAsia" w:ascii="宋体" w:hAnsi="宋体" w:eastAsia="宋体"/>
          <w:sz w:val="24"/>
          <w:szCs w:val="24"/>
        </w:rPr>
      </w:pPr>
      <w:r>
        <w:rPr>
          <w:rFonts w:hint="eastAsia" w:ascii="宋体" w:hAnsi="宋体" w:eastAsia="宋体"/>
          <w:b/>
          <w:bCs/>
          <w:sz w:val="24"/>
          <w:szCs w:val="24"/>
        </w:rPr>
        <w:t>质保期：</w:t>
      </w:r>
      <w:r>
        <w:rPr>
          <w:rFonts w:hint="eastAsia" w:ascii="宋体" w:hAnsi="宋体" w:eastAsia="宋体"/>
          <w:sz w:val="24"/>
          <w:szCs w:val="24"/>
        </w:rPr>
        <w:t>网络设备验收合格后不少于伍年。</w:t>
      </w:r>
    </w:p>
    <w:p w14:paraId="3E5FCDC7">
      <w:pPr>
        <w:spacing w:line="360" w:lineRule="auto"/>
        <w:rPr>
          <w:rFonts w:hint="eastAsia" w:ascii="宋体" w:hAnsi="宋体" w:eastAsia="宋体"/>
          <w:sz w:val="24"/>
          <w:szCs w:val="24"/>
        </w:rPr>
      </w:pPr>
    </w:p>
    <w:p w14:paraId="7320200A">
      <w:pPr>
        <w:spacing w:line="360" w:lineRule="auto"/>
        <w:rPr>
          <w:rFonts w:hint="eastAsia" w:ascii="宋体" w:hAnsi="宋体" w:eastAsia="宋体"/>
          <w:b/>
          <w:sz w:val="24"/>
          <w:szCs w:val="24"/>
        </w:rPr>
      </w:pPr>
      <w:r>
        <w:rPr>
          <w:rFonts w:hint="eastAsia" w:ascii="宋体" w:hAnsi="宋体" w:eastAsia="宋体"/>
          <w:b/>
          <w:sz w:val="24"/>
          <w:szCs w:val="24"/>
        </w:rPr>
        <w:t>一、建设要求</w:t>
      </w:r>
    </w:p>
    <w:p w14:paraId="5C302911">
      <w:pPr>
        <w:adjustRightInd w:val="0"/>
        <w:snapToGrid w:val="0"/>
        <w:spacing w:line="360" w:lineRule="auto"/>
        <w:ind w:firstLine="480"/>
        <w:rPr>
          <w:rFonts w:hint="eastAsia" w:ascii="宋体" w:hAnsi="宋体" w:eastAsia="宋体"/>
          <w:sz w:val="24"/>
          <w:szCs w:val="24"/>
        </w:rPr>
      </w:pPr>
      <w:r>
        <w:rPr>
          <w:rFonts w:hint="eastAsia" w:ascii="宋体" w:hAnsi="宋体" w:eastAsia="宋体"/>
          <w:sz w:val="24"/>
          <w:szCs w:val="24"/>
        </w:rPr>
        <w:t>目前我校已完成全校全光网络的改造建设，整体全光接入组网采用10G EPON对等技术、无线采用入户部署Wi-Fi 6协议无线AP进行网络覆盖。</w:t>
      </w:r>
    </w:p>
    <w:p w14:paraId="3EA45FEC">
      <w:pPr>
        <w:adjustRightInd w:val="0"/>
        <w:snapToGrid w:val="0"/>
        <w:spacing w:line="360" w:lineRule="auto"/>
        <w:ind w:firstLine="480"/>
        <w:rPr>
          <w:rFonts w:hint="eastAsia" w:ascii="宋体" w:hAnsi="宋体" w:eastAsia="宋体"/>
          <w:sz w:val="24"/>
          <w:szCs w:val="24"/>
        </w:rPr>
      </w:pPr>
      <w:r>
        <w:rPr>
          <w:rFonts w:hint="eastAsia" w:ascii="宋体" w:hAnsi="宋体" w:eastAsia="宋体"/>
          <w:sz w:val="24"/>
          <w:szCs w:val="24"/>
        </w:rPr>
        <w:t>1、本期为各楼宇的增补扩建项目，涉及楼宇包括：“一站式服务中心”、“行政楼”、“教学楼C北楼”、“教学楼C西楼”、“学生宿舍8”、“学生宿舍1”、“学生宿舍6”。</w:t>
      </w:r>
    </w:p>
    <w:p w14:paraId="4300A60B">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为实现全网的统一管理、集中管控，增补建设区域需沿用前期技术组网方式以及施工方式。通过万兆光网技术及ONU设备建设本次项目区域的承载网络，ONU设备部署于多媒体箱中，多媒体箱采用集中供电的模式建设，每多媒体箱内部署2芯软铠装光纤用于ONU设备上联，软铠光纤汇聚至壁挂箱内，通过主干光缆互联至核心OLT，ONU由现有OLT设备统一管控。</w:t>
      </w:r>
    </w:p>
    <w:p w14:paraId="0AEECE83">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根据各楼宇所涉及的场景情况部署无线点位，通过六类网线完成无线AP与多媒体箱内ONU设备的互联，通过POE供电的方式为无线AP供电，无线AP由现网无线AC统一管控。</w:t>
      </w:r>
    </w:p>
    <w:p w14:paraId="06753B41">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2、本次项目需完成“商业街至学生宿舍5舍”、“快递驿站至学生宿舍5舍”的主干光缆建设。</w:t>
      </w:r>
    </w:p>
    <w:p w14:paraId="0DBB0EB7">
      <w:pPr>
        <w:rPr>
          <w:rFonts w:hint="eastAsia" w:ascii="宋体" w:hAnsi="宋体" w:eastAsia="宋体"/>
          <w:b/>
          <w:bCs/>
          <w:sz w:val="24"/>
          <w:szCs w:val="28"/>
        </w:rPr>
      </w:pPr>
    </w:p>
    <w:p w14:paraId="327A0DB4">
      <w:pPr>
        <w:spacing w:line="360" w:lineRule="auto"/>
        <w:rPr>
          <w:rFonts w:hint="eastAsia" w:ascii="宋体" w:hAnsi="宋体" w:eastAsia="宋体"/>
          <w:b/>
          <w:bCs/>
          <w:sz w:val="24"/>
          <w:szCs w:val="28"/>
        </w:rPr>
      </w:pPr>
      <w:r>
        <w:rPr>
          <w:rFonts w:hint="eastAsia" w:ascii="宋体" w:hAnsi="宋体" w:eastAsia="宋体"/>
          <w:b/>
          <w:bCs/>
          <w:sz w:val="24"/>
          <w:szCs w:val="28"/>
        </w:rPr>
        <w:t>二、建设点位</w:t>
      </w:r>
    </w:p>
    <w:p w14:paraId="6A5F15D2">
      <w:pPr>
        <w:adjustRightInd w:val="0"/>
        <w:snapToGrid w:val="0"/>
        <w:spacing w:line="360" w:lineRule="auto"/>
        <w:ind w:firstLine="480" w:firstLineChars="200"/>
        <w:rPr>
          <w:rFonts w:hint="eastAsia" w:ascii="宋体" w:hAnsi="宋体" w:eastAsia="宋体"/>
          <w:sz w:val="24"/>
          <w:szCs w:val="24"/>
        </w:rPr>
      </w:pPr>
      <w:r>
        <w:rPr>
          <w:rFonts w:hint="eastAsia" w:ascii="宋体" w:hAnsi="宋体" w:eastAsia="宋体"/>
          <w:sz w:val="24"/>
          <w:szCs w:val="24"/>
        </w:rPr>
        <w:t>室内点位设备设计分布情况如下：</w:t>
      </w:r>
    </w:p>
    <w:p w14:paraId="4B3350C9">
      <w:pPr>
        <w:adjustRightInd w:val="0"/>
        <w:snapToGrid w:val="0"/>
        <w:spacing w:line="360" w:lineRule="auto"/>
        <w:ind w:firstLine="480" w:firstLineChars="200"/>
        <w:rPr>
          <w:rFonts w:hint="eastAsia" w:ascii="宋体" w:hAnsi="宋体" w:eastAsia="宋体"/>
          <w:sz w:val="24"/>
          <w:szCs w:val="24"/>
        </w:rPr>
      </w:pPr>
    </w:p>
    <w:tbl>
      <w:tblPr>
        <w:tblStyle w:val="58"/>
        <w:tblW w:w="8321" w:type="dxa"/>
        <w:tblInd w:w="0" w:type="dxa"/>
        <w:tblLayout w:type="autofit"/>
        <w:tblCellMar>
          <w:top w:w="0" w:type="dxa"/>
          <w:left w:w="108" w:type="dxa"/>
          <w:bottom w:w="0" w:type="dxa"/>
          <w:right w:w="108" w:type="dxa"/>
        </w:tblCellMar>
      </w:tblPr>
      <w:tblGrid>
        <w:gridCol w:w="1838"/>
        <w:gridCol w:w="1097"/>
        <w:gridCol w:w="1174"/>
        <w:gridCol w:w="1353"/>
        <w:gridCol w:w="1353"/>
        <w:gridCol w:w="1506"/>
      </w:tblGrid>
      <w:tr w14:paraId="58B53FF4">
        <w:tblPrEx>
          <w:tblCellMar>
            <w:top w:w="0" w:type="dxa"/>
            <w:left w:w="108" w:type="dxa"/>
            <w:bottom w:w="0" w:type="dxa"/>
            <w:right w:w="108" w:type="dxa"/>
          </w:tblCellMar>
        </w:tblPrEx>
        <w:trPr>
          <w:trHeight w:val="350" w:hRule="atLeast"/>
        </w:trPr>
        <w:tc>
          <w:tcPr>
            <w:tcW w:w="1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CD1673">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区域</w:t>
            </w:r>
          </w:p>
        </w:tc>
        <w:tc>
          <w:tcPr>
            <w:tcW w:w="1097" w:type="dxa"/>
            <w:tcBorders>
              <w:top w:val="single" w:color="auto" w:sz="4" w:space="0"/>
              <w:left w:val="nil"/>
              <w:bottom w:val="single" w:color="auto" w:sz="4" w:space="0"/>
              <w:right w:val="single" w:color="auto" w:sz="4" w:space="0"/>
            </w:tcBorders>
            <w:shd w:val="clear" w:color="auto" w:fill="auto"/>
            <w:noWrap/>
            <w:vAlign w:val="center"/>
          </w:tcPr>
          <w:p w14:paraId="60E2F08C">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面板AP</w:t>
            </w:r>
          </w:p>
        </w:tc>
        <w:tc>
          <w:tcPr>
            <w:tcW w:w="1174" w:type="dxa"/>
            <w:tcBorders>
              <w:top w:val="single" w:color="auto" w:sz="4" w:space="0"/>
              <w:left w:val="nil"/>
              <w:bottom w:val="single" w:color="auto" w:sz="4" w:space="0"/>
              <w:right w:val="single" w:color="auto" w:sz="4" w:space="0"/>
            </w:tcBorders>
            <w:shd w:val="clear" w:color="auto" w:fill="auto"/>
            <w:noWrap/>
            <w:vAlign w:val="center"/>
          </w:tcPr>
          <w:p w14:paraId="7D332297">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放装AP</w:t>
            </w:r>
          </w:p>
        </w:tc>
        <w:tc>
          <w:tcPr>
            <w:tcW w:w="1353" w:type="dxa"/>
            <w:tcBorders>
              <w:top w:val="single" w:color="auto" w:sz="4" w:space="0"/>
              <w:left w:val="nil"/>
              <w:bottom w:val="single" w:color="auto" w:sz="4" w:space="0"/>
              <w:right w:val="single" w:color="auto" w:sz="4" w:space="0"/>
            </w:tcBorders>
            <w:shd w:val="clear" w:color="auto" w:fill="auto"/>
            <w:noWrap/>
            <w:vAlign w:val="center"/>
          </w:tcPr>
          <w:p w14:paraId="2DC30519">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4口ONU</w:t>
            </w:r>
          </w:p>
        </w:tc>
        <w:tc>
          <w:tcPr>
            <w:tcW w:w="1353" w:type="dxa"/>
            <w:tcBorders>
              <w:top w:val="single" w:color="auto" w:sz="4" w:space="0"/>
              <w:left w:val="nil"/>
              <w:bottom w:val="single" w:color="auto" w:sz="4" w:space="0"/>
              <w:right w:val="single" w:color="auto" w:sz="4" w:space="0"/>
            </w:tcBorders>
            <w:shd w:val="clear" w:color="auto" w:fill="auto"/>
            <w:noWrap/>
            <w:vAlign w:val="center"/>
          </w:tcPr>
          <w:p w14:paraId="2DA76EDE">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8口ONU</w:t>
            </w:r>
          </w:p>
        </w:tc>
        <w:tc>
          <w:tcPr>
            <w:tcW w:w="1506" w:type="dxa"/>
            <w:tcBorders>
              <w:top w:val="single" w:color="auto" w:sz="4" w:space="0"/>
              <w:left w:val="nil"/>
              <w:bottom w:val="single" w:color="auto" w:sz="4" w:space="0"/>
              <w:right w:val="single" w:color="auto" w:sz="4" w:space="0"/>
            </w:tcBorders>
            <w:shd w:val="clear" w:color="auto" w:fill="auto"/>
            <w:noWrap/>
            <w:vAlign w:val="center"/>
          </w:tcPr>
          <w:p w14:paraId="0B550BE0">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16口ONU</w:t>
            </w:r>
          </w:p>
        </w:tc>
      </w:tr>
      <w:tr w14:paraId="2895A408">
        <w:tblPrEx>
          <w:tblCellMar>
            <w:top w:w="0" w:type="dxa"/>
            <w:left w:w="108" w:type="dxa"/>
            <w:bottom w:w="0" w:type="dxa"/>
            <w:right w:w="108" w:type="dxa"/>
          </w:tblCellMar>
        </w:tblPrEx>
        <w:trPr>
          <w:trHeight w:val="350" w:hRule="atLeast"/>
        </w:trPr>
        <w:tc>
          <w:tcPr>
            <w:tcW w:w="1838" w:type="dxa"/>
            <w:tcBorders>
              <w:top w:val="nil"/>
              <w:left w:val="single" w:color="auto" w:sz="4" w:space="0"/>
              <w:bottom w:val="single" w:color="auto" w:sz="4" w:space="0"/>
              <w:right w:val="single" w:color="auto" w:sz="4" w:space="0"/>
            </w:tcBorders>
            <w:shd w:val="clear" w:color="auto" w:fill="auto"/>
            <w:noWrap/>
            <w:vAlign w:val="center"/>
          </w:tcPr>
          <w:p w14:paraId="3C635A98">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一站式服务</w:t>
            </w:r>
          </w:p>
        </w:tc>
        <w:tc>
          <w:tcPr>
            <w:tcW w:w="1097" w:type="dxa"/>
            <w:tcBorders>
              <w:top w:val="nil"/>
              <w:left w:val="nil"/>
              <w:bottom w:val="single" w:color="auto" w:sz="4" w:space="0"/>
              <w:right w:val="single" w:color="auto" w:sz="4" w:space="0"/>
            </w:tcBorders>
            <w:shd w:val="clear" w:color="auto" w:fill="auto"/>
            <w:noWrap/>
            <w:vAlign w:val="center"/>
          </w:tcPr>
          <w:p w14:paraId="4A9742B9">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4</w:t>
            </w:r>
          </w:p>
        </w:tc>
        <w:tc>
          <w:tcPr>
            <w:tcW w:w="1174" w:type="dxa"/>
            <w:tcBorders>
              <w:top w:val="nil"/>
              <w:left w:val="nil"/>
              <w:bottom w:val="single" w:color="auto" w:sz="4" w:space="0"/>
              <w:right w:val="single" w:color="auto" w:sz="4" w:space="0"/>
            </w:tcBorders>
            <w:shd w:val="clear" w:color="auto" w:fill="auto"/>
            <w:noWrap/>
            <w:vAlign w:val="center"/>
          </w:tcPr>
          <w:p w14:paraId="27E79451">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2</w:t>
            </w:r>
          </w:p>
        </w:tc>
        <w:tc>
          <w:tcPr>
            <w:tcW w:w="1353" w:type="dxa"/>
            <w:tcBorders>
              <w:top w:val="nil"/>
              <w:left w:val="nil"/>
              <w:bottom w:val="single" w:color="auto" w:sz="4" w:space="0"/>
              <w:right w:val="single" w:color="auto" w:sz="4" w:space="0"/>
            </w:tcBorders>
            <w:shd w:val="clear" w:color="auto" w:fill="auto"/>
            <w:noWrap/>
            <w:vAlign w:val="center"/>
          </w:tcPr>
          <w:p w14:paraId="7A31AA7C">
            <w:pPr>
              <w:widowControl/>
              <w:jc w:val="center"/>
              <w:rPr>
                <w:rFonts w:hint="eastAsia" w:ascii="宋体" w:hAnsi="宋体" w:eastAsia="宋体" w:cs="Times New Roman"/>
                <w:color w:val="000000"/>
                <w:kern w:val="0"/>
                <w:sz w:val="24"/>
                <w:szCs w:val="24"/>
              </w:rPr>
            </w:pPr>
          </w:p>
        </w:tc>
        <w:tc>
          <w:tcPr>
            <w:tcW w:w="1353" w:type="dxa"/>
            <w:tcBorders>
              <w:top w:val="nil"/>
              <w:left w:val="nil"/>
              <w:bottom w:val="single" w:color="auto" w:sz="4" w:space="0"/>
              <w:right w:val="single" w:color="auto" w:sz="4" w:space="0"/>
            </w:tcBorders>
            <w:shd w:val="clear" w:color="auto" w:fill="auto"/>
            <w:noWrap/>
            <w:vAlign w:val="center"/>
          </w:tcPr>
          <w:p w14:paraId="5E6646B0">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w:t>
            </w:r>
          </w:p>
        </w:tc>
        <w:tc>
          <w:tcPr>
            <w:tcW w:w="1506" w:type="dxa"/>
            <w:tcBorders>
              <w:top w:val="nil"/>
              <w:left w:val="nil"/>
              <w:bottom w:val="single" w:color="auto" w:sz="4" w:space="0"/>
              <w:right w:val="single" w:color="auto" w:sz="4" w:space="0"/>
            </w:tcBorders>
            <w:shd w:val="clear" w:color="auto" w:fill="auto"/>
            <w:noWrap/>
            <w:vAlign w:val="center"/>
          </w:tcPr>
          <w:p w14:paraId="14B2C0A8">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w:t>
            </w:r>
          </w:p>
        </w:tc>
      </w:tr>
      <w:tr w14:paraId="359F3575">
        <w:tblPrEx>
          <w:tblCellMar>
            <w:top w:w="0" w:type="dxa"/>
            <w:left w:w="108" w:type="dxa"/>
            <w:bottom w:w="0" w:type="dxa"/>
            <w:right w:w="108" w:type="dxa"/>
          </w:tblCellMar>
        </w:tblPrEx>
        <w:trPr>
          <w:trHeight w:val="350" w:hRule="atLeast"/>
        </w:trPr>
        <w:tc>
          <w:tcPr>
            <w:tcW w:w="1838" w:type="dxa"/>
            <w:tcBorders>
              <w:top w:val="nil"/>
              <w:left w:val="single" w:color="auto" w:sz="4" w:space="0"/>
              <w:bottom w:val="single" w:color="auto" w:sz="4" w:space="0"/>
              <w:right w:val="single" w:color="auto" w:sz="4" w:space="0"/>
            </w:tcBorders>
            <w:shd w:val="clear" w:color="auto" w:fill="auto"/>
            <w:noWrap/>
            <w:vAlign w:val="center"/>
          </w:tcPr>
          <w:p w14:paraId="0FC286D3">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行政楼</w:t>
            </w:r>
          </w:p>
        </w:tc>
        <w:tc>
          <w:tcPr>
            <w:tcW w:w="1097" w:type="dxa"/>
            <w:tcBorders>
              <w:top w:val="nil"/>
              <w:left w:val="nil"/>
              <w:bottom w:val="single" w:color="auto" w:sz="4" w:space="0"/>
              <w:right w:val="single" w:color="auto" w:sz="4" w:space="0"/>
            </w:tcBorders>
            <w:shd w:val="clear" w:color="auto" w:fill="auto"/>
            <w:noWrap/>
            <w:vAlign w:val="center"/>
          </w:tcPr>
          <w:p w14:paraId="34BAFDCE">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6</w:t>
            </w:r>
          </w:p>
        </w:tc>
        <w:tc>
          <w:tcPr>
            <w:tcW w:w="1174" w:type="dxa"/>
            <w:tcBorders>
              <w:top w:val="nil"/>
              <w:left w:val="nil"/>
              <w:bottom w:val="single" w:color="auto" w:sz="4" w:space="0"/>
              <w:right w:val="single" w:color="auto" w:sz="4" w:space="0"/>
            </w:tcBorders>
            <w:shd w:val="clear" w:color="auto" w:fill="auto"/>
            <w:noWrap/>
            <w:vAlign w:val="center"/>
          </w:tcPr>
          <w:p w14:paraId="04A7A7AC">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w:t>
            </w:r>
          </w:p>
        </w:tc>
        <w:tc>
          <w:tcPr>
            <w:tcW w:w="1353" w:type="dxa"/>
            <w:tcBorders>
              <w:top w:val="nil"/>
              <w:left w:val="nil"/>
              <w:bottom w:val="single" w:color="auto" w:sz="4" w:space="0"/>
              <w:right w:val="single" w:color="auto" w:sz="4" w:space="0"/>
            </w:tcBorders>
            <w:shd w:val="clear" w:color="auto" w:fill="auto"/>
            <w:noWrap/>
            <w:vAlign w:val="center"/>
          </w:tcPr>
          <w:p w14:paraId="2ED8312D">
            <w:pPr>
              <w:widowControl/>
              <w:jc w:val="center"/>
              <w:rPr>
                <w:rFonts w:hint="eastAsia" w:ascii="宋体" w:hAnsi="宋体" w:eastAsia="宋体" w:cs="Times New Roman"/>
                <w:color w:val="000000"/>
                <w:kern w:val="0"/>
                <w:sz w:val="24"/>
                <w:szCs w:val="24"/>
              </w:rPr>
            </w:pPr>
          </w:p>
        </w:tc>
        <w:tc>
          <w:tcPr>
            <w:tcW w:w="1353" w:type="dxa"/>
            <w:tcBorders>
              <w:top w:val="nil"/>
              <w:left w:val="nil"/>
              <w:bottom w:val="single" w:color="auto" w:sz="4" w:space="0"/>
              <w:right w:val="single" w:color="auto" w:sz="4" w:space="0"/>
            </w:tcBorders>
            <w:shd w:val="clear" w:color="auto" w:fill="auto"/>
            <w:noWrap/>
            <w:vAlign w:val="center"/>
          </w:tcPr>
          <w:p w14:paraId="36E34DF6">
            <w:pPr>
              <w:widowControl/>
              <w:jc w:val="center"/>
              <w:rPr>
                <w:rFonts w:hint="eastAsia" w:ascii="宋体" w:hAnsi="宋体" w:eastAsia="宋体" w:cs="Times New Roman"/>
                <w:color w:val="000000"/>
                <w:kern w:val="0"/>
                <w:sz w:val="24"/>
                <w:szCs w:val="24"/>
              </w:rPr>
            </w:pPr>
          </w:p>
        </w:tc>
        <w:tc>
          <w:tcPr>
            <w:tcW w:w="1506" w:type="dxa"/>
            <w:tcBorders>
              <w:top w:val="nil"/>
              <w:left w:val="nil"/>
              <w:bottom w:val="single" w:color="auto" w:sz="4" w:space="0"/>
              <w:right w:val="single" w:color="auto" w:sz="4" w:space="0"/>
            </w:tcBorders>
            <w:shd w:val="clear" w:color="auto" w:fill="auto"/>
            <w:noWrap/>
            <w:vAlign w:val="center"/>
          </w:tcPr>
          <w:p w14:paraId="49329C33">
            <w:pPr>
              <w:widowControl/>
              <w:jc w:val="center"/>
              <w:rPr>
                <w:rFonts w:hint="eastAsia" w:ascii="宋体" w:hAnsi="宋体" w:eastAsia="宋体" w:cs="Times New Roman"/>
                <w:color w:val="000000"/>
                <w:kern w:val="0"/>
                <w:sz w:val="24"/>
                <w:szCs w:val="24"/>
              </w:rPr>
            </w:pPr>
          </w:p>
        </w:tc>
      </w:tr>
      <w:tr w14:paraId="6E680BA0">
        <w:tblPrEx>
          <w:tblCellMar>
            <w:top w:w="0" w:type="dxa"/>
            <w:left w:w="108" w:type="dxa"/>
            <w:bottom w:w="0" w:type="dxa"/>
            <w:right w:w="108" w:type="dxa"/>
          </w:tblCellMar>
        </w:tblPrEx>
        <w:trPr>
          <w:trHeight w:val="350" w:hRule="atLeast"/>
        </w:trPr>
        <w:tc>
          <w:tcPr>
            <w:tcW w:w="1838" w:type="dxa"/>
            <w:tcBorders>
              <w:top w:val="nil"/>
              <w:left w:val="single" w:color="auto" w:sz="4" w:space="0"/>
              <w:bottom w:val="single" w:color="auto" w:sz="4" w:space="0"/>
              <w:right w:val="single" w:color="auto" w:sz="4" w:space="0"/>
            </w:tcBorders>
            <w:shd w:val="clear" w:color="auto" w:fill="auto"/>
            <w:noWrap/>
            <w:vAlign w:val="center"/>
          </w:tcPr>
          <w:p w14:paraId="37D296AE">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教学楼C北</w:t>
            </w:r>
          </w:p>
        </w:tc>
        <w:tc>
          <w:tcPr>
            <w:tcW w:w="1097" w:type="dxa"/>
            <w:tcBorders>
              <w:top w:val="nil"/>
              <w:left w:val="nil"/>
              <w:bottom w:val="single" w:color="auto" w:sz="4" w:space="0"/>
              <w:right w:val="single" w:color="auto" w:sz="4" w:space="0"/>
            </w:tcBorders>
            <w:shd w:val="clear" w:color="auto" w:fill="auto"/>
            <w:noWrap/>
            <w:vAlign w:val="center"/>
          </w:tcPr>
          <w:p w14:paraId="24EB6E80">
            <w:pPr>
              <w:widowControl/>
              <w:jc w:val="center"/>
              <w:rPr>
                <w:rFonts w:hint="eastAsia" w:ascii="宋体" w:hAnsi="宋体" w:eastAsia="宋体" w:cs="Times New Roman"/>
                <w:color w:val="000000"/>
                <w:kern w:val="0"/>
                <w:sz w:val="24"/>
                <w:szCs w:val="24"/>
              </w:rPr>
            </w:pPr>
          </w:p>
        </w:tc>
        <w:tc>
          <w:tcPr>
            <w:tcW w:w="1174" w:type="dxa"/>
            <w:tcBorders>
              <w:top w:val="nil"/>
              <w:left w:val="nil"/>
              <w:bottom w:val="single" w:color="auto" w:sz="4" w:space="0"/>
              <w:right w:val="single" w:color="auto" w:sz="4" w:space="0"/>
            </w:tcBorders>
            <w:shd w:val="clear" w:color="auto" w:fill="auto"/>
            <w:noWrap/>
            <w:vAlign w:val="center"/>
          </w:tcPr>
          <w:p w14:paraId="76FADD71">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12</w:t>
            </w:r>
          </w:p>
        </w:tc>
        <w:tc>
          <w:tcPr>
            <w:tcW w:w="1353" w:type="dxa"/>
            <w:tcBorders>
              <w:top w:val="nil"/>
              <w:left w:val="nil"/>
              <w:bottom w:val="single" w:color="auto" w:sz="4" w:space="0"/>
              <w:right w:val="single" w:color="auto" w:sz="4" w:space="0"/>
            </w:tcBorders>
            <w:shd w:val="clear" w:color="auto" w:fill="auto"/>
            <w:noWrap/>
            <w:vAlign w:val="center"/>
          </w:tcPr>
          <w:p w14:paraId="110E3A0E">
            <w:pPr>
              <w:widowControl/>
              <w:jc w:val="center"/>
              <w:rPr>
                <w:rFonts w:hint="eastAsia" w:ascii="宋体" w:hAnsi="宋体" w:eastAsia="宋体" w:cs="Times New Roman"/>
                <w:color w:val="000000"/>
                <w:kern w:val="0"/>
                <w:sz w:val="24"/>
                <w:szCs w:val="24"/>
              </w:rPr>
            </w:pPr>
          </w:p>
        </w:tc>
        <w:tc>
          <w:tcPr>
            <w:tcW w:w="1353" w:type="dxa"/>
            <w:tcBorders>
              <w:top w:val="nil"/>
              <w:left w:val="nil"/>
              <w:bottom w:val="single" w:color="auto" w:sz="4" w:space="0"/>
              <w:right w:val="single" w:color="auto" w:sz="4" w:space="0"/>
            </w:tcBorders>
            <w:shd w:val="clear" w:color="auto" w:fill="auto"/>
            <w:noWrap/>
            <w:vAlign w:val="center"/>
          </w:tcPr>
          <w:p w14:paraId="69D5E441">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6</w:t>
            </w:r>
          </w:p>
        </w:tc>
        <w:tc>
          <w:tcPr>
            <w:tcW w:w="1506" w:type="dxa"/>
            <w:tcBorders>
              <w:top w:val="nil"/>
              <w:left w:val="nil"/>
              <w:bottom w:val="single" w:color="auto" w:sz="4" w:space="0"/>
              <w:right w:val="single" w:color="auto" w:sz="4" w:space="0"/>
            </w:tcBorders>
            <w:shd w:val="clear" w:color="auto" w:fill="auto"/>
            <w:noWrap/>
            <w:vAlign w:val="center"/>
          </w:tcPr>
          <w:p w14:paraId="4DA28228">
            <w:pPr>
              <w:widowControl/>
              <w:jc w:val="center"/>
              <w:rPr>
                <w:rFonts w:hint="eastAsia" w:ascii="宋体" w:hAnsi="宋体" w:eastAsia="宋体" w:cs="Times New Roman"/>
                <w:color w:val="000000"/>
                <w:kern w:val="0"/>
                <w:sz w:val="24"/>
                <w:szCs w:val="24"/>
              </w:rPr>
            </w:pPr>
          </w:p>
        </w:tc>
      </w:tr>
      <w:tr w14:paraId="09223520">
        <w:tblPrEx>
          <w:tblCellMar>
            <w:top w:w="0" w:type="dxa"/>
            <w:left w:w="108" w:type="dxa"/>
            <w:bottom w:w="0" w:type="dxa"/>
            <w:right w:w="108" w:type="dxa"/>
          </w:tblCellMar>
        </w:tblPrEx>
        <w:trPr>
          <w:trHeight w:val="350" w:hRule="atLeast"/>
        </w:trPr>
        <w:tc>
          <w:tcPr>
            <w:tcW w:w="1838" w:type="dxa"/>
            <w:tcBorders>
              <w:top w:val="nil"/>
              <w:left w:val="single" w:color="auto" w:sz="4" w:space="0"/>
              <w:bottom w:val="single" w:color="auto" w:sz="4" w:space="0"/>
              <w:right w:val="single" w:color="auto" w:sz="4" w:space="0"/>
            </w:tcBorders>
            <w:shd w:val="clear" w:color="auto" w:fill="auto"/>
            <w:noWrap/>
            <w:vAlign w:val="center"/>
          </w:tcPr>
          <w:p w14:paraId="2892E3D3">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教学楼C西</w:t>
            </w:r>
          </w:p>
        </w:tc>
        <w:tc>
          <w:tcPr>
            <w:tcW w:w="1097" w:type="dxa"/>
            <w:tcBorders>
              <w:top w:val="nil"/>
              <w:left w:val="nil"/>
              <w:bottom w:val="single" w:color="auto" w:sz="4" w:space="0"/>
              <w:right w:val="single" w:color="auto" w:sz="4" w:space="0"/>
            </w:tcBorders>
            <w:shd w:val="clear" w:color="auto" w:fill="auto"/>
            <w:noWrap/>
            <w:vAlign w:val="center"/>
          </w:tcPr>
          <w:p w14:paraId="263AE24E">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8</w:t>
            </w:r>
          </w:p>
        </w:tc>
        <w:tc>
          <w:tcPr>
            <w:tcW w:w="1174" w:type="dxa"/>
            <w:tcBorders>
              <w:top w:val="nil"/>
              <w:left w:val="nil"/>
              <w:bottom w:val="single" w:color="auto" w:sz="4" w:space="0"/>
              <w:right w:val="single" w:color="auto" w:sz="4" w:space="0"/>
            </w:tcBorders>
            <w:shd w:val="clear" w:color="auto" w:fill="auto"/>
            <w:noWrap/>
            <w:vAlign w:val="center"/>
          </w:tcPr>
          <w:p w14:paraId="3C089D35">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w:t>
            </w:r>
          </w:p>
        </w:tc>
        <w:tc>
          <w:tcPr>
            <w:tcW w:w="1353" w:type="dxa"/>
            <w:tcBorders>
              <w:top w:val="nil"/>
              <w:left w:val="nil"/>
              <w:bottom w:val="single" w:color="auto" w:sz="4" w:space="0"/>
              <w:right w:val="single" w:color="auto" w:sz="4" w:space="0"/>
            </w:tcBorders>
            <w:shd w:val="clear" w:color="auto" w:fill="auto"/>
            <w:noWrap/>
            <w:vAlign w:val="center"/>
          </w:tcPr>
          <w:p w14:paraId="3183D00C">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w:t>
            </w:r>
          </w:p>
        </w:tc>
        <w:tc>
          <w:tcPr>
            <w:tcW w:w="1353" w:type="dxa"/>
            <w:tcBorders>
              <w:top w:val="nil"/>
              <w:left w:val="nil"/>
              <w:bottom w:val="single" w:color="auto" w:sz="4" w:space="0"/>
              <w:right w:val="single" w:color="auto" w:sz="4" w:space="0"/>
            </w:tcBorders>
            <w:shd w:val="clear" w:color="auto" w:fill="auto"/>
            <w:noWrap/>
            <w:vAlign w:val="center"/>
          </w:tcPr>
          <w:p w14:paraId="28D13560">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w:t>
            </w:r>
          </w:p>
        </w:tc>
        <w:tc>
          <w:tcPr>
            <w:tcW w:w="1506" w:type="dxa"/>
            <w:tcBorders>
              <w:top w:val="nil"/>
              <w:left w:val="nil"/>
              <w:bottom w:val="single" w:color="auto" w:sz="4" w:space="0"/>
              <w:right w:val="single" w:color="auto" w:sz="4" w:space="0"/>
            </w:tcBorders>
            <w:shd w:val="clear" w:color="auto" w:fill="auto"/>
            <w:noWrap/>
            <w:vAlign w:val="center"/>
          </w:tcPr>
          <w:p w14:paraId="7CF9759E">
            <w:pPr>
              <w:widowControl/>
              <w:jc w:val="center"/>
              <w:rPr>
                <w:rFonts w:hint="eastAsia" w:ascii="宋体" w:hAnsi="宋体" w:eastAsia="宋体" w:cs="Times New Roman"/>
                <w:color w:val="000000"/>
                <w:kern w:val="0"/>
                <w:sz w:val="24"/>
                <w:szCs w:val="24"/>
              </w:rPr>
            </w:pPr>
          </w:p>
        </w:tc>
      </w:tr>
      <w:tr w14:paraId="122541CB">
        <w:tblPrEx>
          <w:tblCellMar>
            <w:top w:w="0" w:type="dxa"/>
            <w:left w:w="108" w:type="dxa"/>
            <w:bottom w:w="0" w:type="dxa"/>
            <w:right w:w="108" w:type="dxa"/>
          </w:tblCellMar>
        </w:tblPrEx>
        <w:trPr>
          <w:trHeight w:val="350" w:hRule="atLeast"/>
        </w:trPr>
        <w:tc>
          <w:tcPr>
            <w:tcW w:w="1838" w:type="dxa"/>
            <w:tcBorders>
              <w:top w:val="nil"/>
              <w:left w:val="single" w:color="auto" w:sz="4" w:space="0"/>
              <w:bottom w:val="single" w:color="auto" w:sz="4" w:space="0"/>
              <w:right w:val="single" w:color="auto" w:sz="4" w:space="0"/>
            </w:tcBorders>
            <w:shd w:val="clear" w:color="auto" w:fill="auto"/>
            <w:noWrap/>
            <w:vAlign w:val="center"/>
          </w:tcPr>
          <w:p w14:paraId="005CB085">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学生宿舍8(</w:t>
            </w:r>
            <w:r>
              <w:rPr>
                <w:rFonts w:hint="eastAsia" w:ascii="宋体" w:hAnsi="宋体" w:eastAsia="宋体" w:cs="Times New Roman"/>
                <w:color w:val="000000"/>
                <w:kern w:val="0"/>
                <w:sz w:val="24"/>
                <w:szCs w:val="24"/>
              </w:rPr>
              <w:t>教室</w:t>
            </w:r>
            <w:r>
              <w:rPr>
                <w:rFonts w:ascii="宋体" w:hAnsi="宋体" w:eastAsia="宋体" w:cs="Times New Roman"/>
                <w:color w:val="000000"/>
                <w:kern w:val="0"/>
                <w:sz w:val="24"/>
                <w:szCs w:val="24"/>
              </w:rPr>
              <w:t>)</w:t>
            </w:r>
          </w:p>
        </w:tc>
        <w:tc>
          <w:tcPr>
            <w:tcW w:w="1097" w:type="dxa"/>
            <w:tcBorders>
              <w:top w:val="nil"/>
              <w:left w:val="nil"/>
              <w:bottom w:val="single" w:color="auto" w:sz="4" w:space="0"/>
              <w:right w:val="single" w:color="auto" w:sz="4" w:space="0"/>
            </w:tcBorders>
            <w:shd w:val="clear" w:color="auto" w:fill="auto"/>
            <w:noWrap/>
            <w:vAlign w:val="center"/>
          </w:tcPr>
          <w:p w14:paraId="7EEC9203">
            <w:pPr>
              <w:widowControl/>
              <w:jc w:val="center"/>
              <w:rPr>
                <w:rFonts w:hint="eastAsia" w:ascii="宋体" w:hAnsi="宋体" w:eastAsia="宋体" w:cs="Times New Roman"/>
                <w:color w:val="000000"/>
                <w:kern w:val="0"/>
                <w:sz w:val="24"/>
                <w:szCs w:val="24"/>
              </w:rPr>
            </w:pPr>
          </w:p>
        </w:tc>
        <w:tc>
          <w:tcPr>
            <w:tcW w:w="1174" w:type="dxa"/>
            <w:tcBorders>
              <w:top w:val="nil"/>
              <w:left w:val="nil"/>
              <w:bottom w:val="single" w:color="auto" w:sz="4" w:space="0"/>
              <w:right w:val="single" w:color="auto" w:sz="4" w:space="0"/>
            </w:tcBorders>
            <w:shd w:val="clear" w:color="auto" w:fill="auto"/>
            <w:noWrap/>
            <w:vAlign w:val="center"/>
          </w:tcPr>
          <w:p w14:paraId="54AA8A08">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6</w:t>
            </w:r>
          </w:p>
        </w:tc>
        <w:tc>
          <w:tcPr>
            <w:tcW w:w="1353" w:type="dxa"/>
            <w:tcBorders>
              <w:top w:val="nil"/>
              <w:left w:val="nil"/>
              <w:bottom w:val="single" w:color="auto" w:sz="4" w:space="0"/>
              <w:right w:val="single" w:color="auto" w:sz="4" w:space="0"/>
            </w:tcBorders>
            <w:shd w:val="clear" w:color="auto" w:fill="auto"/>
            <w:noWrap/>
            <w:vAlign w:val="center"/>
          </w:tcPr>
          <w:p w14:paraId="2D7E3065">
            <w:pPr>
              <w:widowControl/>
              <w:jc w:val="center"/>
              <w:rPr>
                <w:rFonts w:hint="eastAsia" w:ascii="宋体" w:hAnsi="宋体" w:eastAsia="宋体" w:cs="Times New Roman"/>
                <w:color w:val="000000"/>
                <w:kern w:val="0"/>
                <w:sz w:val="24"/>
                <w:szCs w:val="24"/>
              </w:rPr>
            </w:pPr>
          </w:p>
        </w:tc>
        <w:tc>
          <w:tcPr>
            <w:tcW w:w="1353" w:type="dxa"/>
            <w:tcBorders>
              <w:top w:val="nil"/>
              <w:left w:val="nil"/>
              <w:bottom w:val="single" w:color="auto" w:sz="4" w:space="0"/>
              <w:right w:val="single" w:color="auto" w:sz="4" w:space="0"/>
            </w:tcBorders>
            <w:shd w:val="clear" w:color="auto" w:fill="auto"/>
            <w:noWrap/>
            <w:vAlign w:val="center"/>
          </w:tcPr>
          <w:p w14:paraId="5D136436">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4</w:t>
            </w:r>
          </w:p>
        </w:tc>
        <w:tc>
          <w:tcPr>
            <w:tcW w:w="1506" w:type="dxa"/>
            <w:tcBorders>
              <w:top w:val="nil"/>
              <w:left w:val="nil"/>
              <w:bottom w:val="single" w:color="auto" w:sz="4" w:space="0"/>
              <w:right w:val="single" w:color="auto" w:sz="4" w:space="0"/>
            </w:tcBorders>
            <w:shd w:val="clear" w:color="auto" w:fill="auto"/>
            <w:noWrap/>
            <w:vAlign w:val="center"/>
          </w:tcPr>
          <w:p w14:paraId="4BF85D6F">
            <w:pPr>
              <w:widowControl/>
              <w:jc w:val="center"/>
              <w:rPr>
                <w:rFonts w:hint="eastAsia" w:ascii="宋体" w:hAnsi="宋体" w:eastAsia="宋体" w:cs="Times New Roman"/>
                <w:color w:val="000000"/>
                <w:kern w:val="0"/>
                <w:sz w:val="24"/>
                <w:szCs w:val="24"/>
              </w:rPr>
            </w:pPr>
          </w:p>
        </w:tc>
      </w:tr>
      <w:tr w14:paraId="74984A41">
        <w:tblPrEx>
          <w:tblCellMar>
            <w:top w:w="0" w:type="dxa"/>
            <w:left w:w="108" w:type="dxa"/>
            <w:bottom w:w="0" w:type="dxa"/>
            <w:right w:w="108" w:type="dxa"/>
          </w:tblCellMar>
        </w:tblPrEx>
        <w:trPr>
          <w:trHeight w:val="350" w:hRule="atLeast"/>
        </w:trPr>
        <w:tc>
          <w:tcPr>
            <w:tcW w:w="1838" w:type="dxa"/>
            <w:tcBorders>
              <w:top w:val="nil"/>
              <w:left w:val="single" w:color="auto" w:sz="4" w:space="0"/>
              <w:bottom w:val="single" w:color="auto" w:sz="4" w:space="0"/>
              <w:right w:val="single" w:color="auto" w:sz="4" w:space="0"/>
            </w:tcBorders>
            <w:shd w:val="clear" w:color="auto" w:fill="auto"/>
            <w:noWrap/>
            <w:vAlign w:val="center"/>
          </w:tcPr>
          <w:p w14:paraId="3A59D3C0">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学生宿舍1</w:t>
            </w:r>
          </w:p>
        </w:tc>
        <w:tc>
          <w:tcPr>
            <w:tcW w:w="1097" w:type="dxa"/>
            <w:tcBorders>
              <w:top w:val="nil"/>
              <w:left w:val="nil"/>
              <w:bottom w:val="single" w:color="auto" w:sz="4" w:space="0"/>
              <w:right w:val="single" w:color="auto" w:sz="4" w:space="0"/>
            </w:tcBorders>
            <w:shd w:val="clear" w:color="auto" w:fill="auto"/>
            <w:noWrap/>
            <w:vAlign w:val="center"/>
          </w:tcPr>
          <w:p w14:paraId="231D3FC6">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24</w:t>
            </w:r>
          </w:p>
        </w:tc>
        <w:tc>
          <w:tcPr>
            <w:tcW w:w="1174" w:type="dxa"/>
            <w:tcBorders>
              <w:top w:val="nil"/>
              <w:left w:val="nil"/>
              <w:bottom w:val="single" w:color="auto" w:sz="4" w:space="0"/>
              <w:right w:val="single" w:color="auto" w:sz="4" w:space="0"/>
            </w:tcBorders>
            <w:shd w:val="clear" w:color="auto" w:fill="auto"/>
            <w:noWrap/>
            <w:vAlign w:val="center"/>
          </w:tcPr>
          <w:p w14:paraId="34244C4C">
            <w:pPr>
              <w:widowControl/>
              <w:jc w:val="center"/>
              <w:rPr>
                <w:rFonts w:hint="eastAsia" w:ascii="宋体" w:hAnsi="宋体" w:eastAsia="宋体" w:cs="Times New Roman"/>
                <w:color w:val="000000"/>
                <w:kern w:val="0"/>
                <w:sz w:val="24"/>
                <w:szCs w:val="24"/>
              </w:rPr>
            </w:pPr>
          </w:p>
        </w:tc>
        <w:tc>
          <w:tcPr>
            <w:tcW w:w="1353" w:type="dxa"/>
            <w:tcBorders>
              <w:top w:val="nil"/>
              <w:left w:val="nil"/>
              <w:bottom w:val="single" w:color="auto" w:sz="4" w:space="0"/>
              <w:right w:val="single" w:color="auto" w:sz="4" w:space="0"/>
            </w:tcBorders>
            <w:shd w:val="clear" w:color="auto" w:fill="auto"/>
            <w:noWrap/>
            <w:vAlign w:val="center"/>
          </w:tcPr>
          <w:p w14:paraId="6F8FD061">
            <w:pPr>
              <w:widowControl/>
              <w:jc w:val="center"/>
              <w:rPr>
                <w:rFonts w:hint="eastAsia" w:ascii="宋体" w:hAnsi="宋体" w:eastAsia="宋体" w:cs="Times New Roman"/>
                <w:color w:val="000000"/>
                <w:kern w:val="0"/>
                <w:sz w:val="24"/>
                <w:szCs w:val="24"/>
              </w:rPr>
            </w:pPr>
          </w:p>
        </w:tc>
        <w:tc>
          <w:tcPr>
            <w:tcW w:w="1353" w:type="dxa"/>
            <w:tcBorders>
              <w:top w:val="nil"/>
              <w:left w:val="nil"/>
              <w:bottom w:val="single" w:color="auto" w:sz="4" w:space="0"/>
              <w:right w:val="single" w:color="auto" w:sz="4" w:space="0"/>
            </w:tcBorders>
            <w:shd w:val="clear" w:color="auto" w:fill="auto"/>
            <w:noWrap/>
            <w:vAlign w:val="center"/>
          </w:tcPr>
          <w:p w14:paraId="7B3A1218">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3</w:t>
            </w:r>
          </w:p>
        </w:tc>
        <w:tc>
          <w:tcPr>
            <w:tcW w:w="1506" w:type="dxa"/>
            <w:tcBorders>
              <w:top w:val="nil"/>
              <w:left w:val="nil"/>
              <w:bottom w:val="single" w:color="auto" w:sz="4" w:space="0"/>
              <w:right w:val="single" w:color="auto" w:sz="4" w:space="0"/>
            </w:tcBorders>
            <w:shd w:val="clear" w:color="auto" w:fill="auto"/>
            <w:noWrap/>
            <w:vAlign w:val="center"/>
          </w:tcPr>
          <w:p w14:paraId="7DD52278">
            <w:pPr>
              <w:widowControl/>
              <w:jc w:val="center"/>
              <w:rPr>
                <w:rFonts w:hint="eastAsia" w:ascii="宋体" w:hAnsi="宋体" w:eastAsia="宋体" w:cs="Times New Roman"/>
                <w:color w:val="000000"/>
                <w:kern w:val="0"/>
                <w:sz w:val="24"/>
                <w:szCs w:val="24"/>
              </w:rPr>
            </w:pPr>
          </w:p>
        </w:tc>
      </w:tr>
      <w:tr w14:paraId="030B7152">
        <w:tblPrEx>
          <w:tblCellMar>
            <w:top w:w="0" w:type="dxa"/>
            <w:left w:w="108" w:type="dxa"/>
            <w:bottom w:w="0" w:type="dxa"/>
            <w:right w:w="108" w:type="dxa"/>
          </w:tblCellMar>
        </w:tblPrEx>
        <w:trPr>
          <w:trHeight w:val="350" w:hRule="atLeast"/>
        </w:trPr>
        <w:tc>
          <w:tcPr>
            <w:tcW w:w="1838" w:type="dxa"/>
            <w:tcBorders>
              <w:top w:val="nil"/>
              <w:left w:val="single" w:color="auto" w:sz="4" w:space="0"/>
              <w:bottom w:val="single" w:color="auto" w:sz="4" w:space="0"/>
              <w:right w:val="single" w:color="auto" w:sz="4" w:space="0"/>
            </w:tcBorders>
            <w:shd w:val="clear" w:color="auto" w:fill="auto"/>
            <w:noWrap/>
            <w:vAlign w:val="center"/>
          </w:tcPr>
          <w:p w14:paraId="116598C7">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学生宿舍6</w:t>
            </w:r>
          </w:p>
        </w:tc>
        <w:tc>
          <w:tcPr>
            <w:tcW w:w="1097" w:type="dxa"/>
            <w:tcBorders>
              <w:top w:val="nil"/>
              <w:left w:val="nil"/>
              <w:bottom w:val="single" w:color="auto" w:sz="4" w:space="0"/>
              <w:right w:val="single" w:color="auto" w:sz="4" w:space="0"/>
            </w:tcBorders>
            <w:shd w:val="clear" w:color="auto" w:fill="auto"/>
            <w:noWrap/>
            <w:vAlign w:val="center"/>
          </w:tcPr>
          <w:p w14:paraId="01A2B2D5">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101</w:t>
            </w:r>
          </w:p>
        </w:tc>
        <w:tc>
          <w:tcPr>
            <w:tcW w:w="1174" w:type="dxa"/>
            <w:tcBorders>
              <w:top w:val="nil"/>
              <w:left w:val="nil"/>
              <w:bottom w:val="single" w:color="auto" w:sz="4" w:space="0"/>
              <w:right w:val="single" w:color="auto" w:sz="4" w:space="0"/>
            </w:tcBorders>
            <w:shd w:val="clear" w:color="auto" w:fill="auto"/>
            <w:noWrap/>
            <w:vAlign w:val="center"/>
          </w:tcPr>
          <w:p w14:paraId="59B3531E">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3</w:t>
            </w:r>
          </w:p>
        </w:tc>
        <w:tc>
          <w:tcPr>
            <w:tcW w:w="1353" w:type="dxa"/>
            <w:tcBorders>
              <w:top w:val="nil"/>
              <w:left w:val="nil"/>
              <w:bottom w:val="single" w:color="auto" w:sz="4" w:space="0"/>
              <w:right w:val="single" w:color="auto" w:sz="4" w:space="0"/>
            </w:tcBorders>
            <w:shd w:val="clear" w:color="auto" w:fill="auto"/>
            <w:noWrap/>
            <w:vAlign w:val="center"/>
          </w:tcPr>
          <w:p w14:paraId="4F889983">
            <w:pPr>
              <w:widowControl/>
              <w:jc w:val="center"/>
              <w:rPr>
                <w:rFonts w:hint="eastAsia" w:ascii="宋体" w:hAnsi="宋体" w:eastAsia="宋体" w:cs="Times New Roman"/>
                <w:color w:val="000000"/>
                <w:kern w:val="0"/>
                <w:sz w:val="24"/>
                <w:szCs w:val="24"/>
              </w:rPr>
            </w:pPr>
          </w:p>
        </w:tc>
        <w:tc>
          <w:tcPr>
            <w:tcW w:w="1353" w:type="dxa"/>
            <w:tcBorders>
              <w:top w:val="nil"/>
              <w:left w:val="nil"/>
              <w:bottom w:val="single" w:color="auto" w:sz="4" w:space="0"/>
              <w:right w:val="single" w:color="auto" w:sz="4" w:space="0"/>
            </w:tcBorders>
            <w:shd w:val="clear" w:color="auto" w:fill="auto"/>
            <w:noWrap/>
            <w:vAlign w:val="center"/>
          </w:tcPr>
          <w:p w14:paraId="4676264F">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15</w:t>
            </w:r>
          </w:p>
        </w:tc>
        <w:tc>
          <w:tcPr>
            <w:tcW w:w="1506" w:type="dxa"/>
            <w:tcBorders>
              <w:top w:val="nil"/>
              <w:left w:val="nil"/>
              <w:bottom w:val="single" w:color="auto" w:sz="4" w:space="0"/>
              <w:right w:val="single" w:color="auto" w:sz="4" w:space="0"/>
            </w:tcBorders>
            <w:shd w:val="clear" w:color="auto" w:fill="auto"/>
            <w:noWrap/>
            <w:vAlign w:val="center"/>
          </w:tcPr>
          <w:p w14:paraId="3DA877DF">
            <w:pPr>
              <w:widowControl/>
              <w:jc w:val="center"/>
              <w:rPr>
                <w:rFonts w:hint="eastAsia" w:ascii="宋体" w:hAnsi="宋体" w:eastAsia="宋体" w:cs="Times New Roman"/>
                <w:color w:val="000000"/>
                <w:kern w:val="0"/>
                <w:sz w:val="24"/>
                <w:szCs w:val="24"/>
              </w:rPr>
            </w:pPr>
          </w:p>
        </w:tc>
      </w:tr>
      <w:tr w14:paraId="0E572B7E">
        <w:tblPrEx>
          <w:tblCellMar>
            <w:top w:w="0" w:type="dxa"/>
            <w:left w:w="108" w:type="dxa"/>
            <w:bottom w:w="0" w:type="dxa"/>
            <w:right w:w="108" w:type="dxa"/>
          </w:tblCellMar>
        </w:tblPrEx>
        <w:trPr>
          <w:trHeight w:val="350" w:hRule="atLeast"/>
        </w:trPr>
        <w:tc>
          <w:tcPr>
            <w:tcW w:w="1838" w:type="dxa"/>
            <w:tcBorders>
              <w:top w:val="nil"/>
              <w:left w:val="single" w:color="auto" w:sz="4" w:space="0"/>
              <w:bottom w:val="single" w:color="auto" w:sz="4" w:space="0"/>
              <w:right w:val="single" w:color="auto" w:sz="4" w:space="0"/>
            </w:tcBorders>
            <w:shd w:val="clear" w:color="auto" w:fill="auto"/>
            <w:noWrap/>
            <w:vAlign w:val="center"/>
          </w:tcPr>
          <w:p w14:paraId="6906F8F4">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合计</w:t>
            </w:r>
          </w:p>
        </w:tc>
        <w:tc>
          <w:tcPr>
            <w:tcW w:w="1097" w:type="dxa"/>
            <w:tcBorders>
              <w:top w:val="nil"/>
              <w:left w:val="nil"/>
              <w:bottom w:val="single" w:color="auto" w:sz="4" w:space="0"/>
              <w:right w:val="single" w:color="auto" w:sz="4" w:space="0"/>
            </w:tcBorders>
            <w:shd w:val="clear" w:color="auto" w:fill="auto"/>
            <w:noWrap/>
            <w:vAlign w:val="center"/>
          </w:tcPr>
          <w:p w14:paraId="4B89A240">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143</w:t>
            </w:r>
          </w:p>
        </w:tc>
        <w:tc>
          <w:tcPr>
            <w:tcW w:w="1174" w:type="dxa"/>
            <w:tcBorders>
              <w:top w:val="nil"/>
              <w:left w:val="nil"/>
              <w:bottom w:val="single" w:color="auto" w:sz="4" w:space="0"/>
              <w:right w:val="single" w:color="auto" w:sz="4" w:space="0"/>
            </w:tcBorders>
            <w:shd w:val="clear" w:color="auto" w:fill="auto"/>
            <w:noWrap/>
            <w:vAlign w:val="center"/>
          </w:tcPr>
          <w:p w14:paraId="7A225A85">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25</w:t>
            </w:r>
          </w:p>
        </w:tc>
        <w:tc>
          <w:tcPr>
            <w:tcW w:w="1353" w:type="dxa"/>
            <w:tcBorders>
              <w:top w:val="nil"/>
              <w:left w:val="nil"/>
              <w:bottom w:val="single" w:color="auto" w:sz="4" w:space="0"/>
              <w:right w:val="single" w:color="auto" w:sz="4" w:space="0"/>
            </w:tcBorders>
            <w:shd w:val="clear" w:color="auto" w:fill="auto"/>
            <w:noWrap/>
            <w:vAlign w:val="center"/>
          </w:tcPr>
          <w:p w14:paraId="12F7A864">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1</w:t>
            </w:r>
          </w:p>
        </w:tc>
        <w:tc>
          <w:tcPr>
            <w:tcW w:w="1353" w:type="dxa"/>
            <w:tcBorders>
              <w:top w:val="nil"/>
              <w:left w:val="nil"/>
              <w:bottom w:val="single" w:color="auto" w:sz="4" w:space="0"/>
              <w:right w:val="single" w:color="auto" w:sz="4" w:space="0"/>
            </w:tcBorders>
            <w:shd w:val="clear" w:color="auto" w:fill="auto"/>
            <w:noWrap/>
            <w:vAlign w:val="center"/>
          </w:tcPr>
          <w:p w14:paraId="4203B269">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30</w:t>
            </w:r>
          </w:p>
        </w:tc>
        <w:tc>
          <w:tcPr>
            <w:tcW w:w="1506" w:type="dxa"/>
            <w:tcBorders>
              <w:top w:val="nil"/>
              <w:left w:val="nil"/>
              <w:bottom w:val="single" w:color="auto" w:sz="4" w:space="0"/>
              <w:right w:val="single" w:color="auto" w:sz="4" w:space="0"/>
            </w:tcBorders>
            <w:shd w:val="clear" w:color="auto" w:fill="auto"/>
            <w:noWrap/>
            <w:vAlign w:val="center"/>
          </w:tcPr>
          <w:p w14:paraId="22E034D2">
            <w:pPr>
              <w:widowControl/>
              <w:jc w:val="center"/>
              <w:rPr>
                <w:rFonts w:hint="eastAsia" w:ascii="宋体" w:hAnsi="宋体" w:eastAsia="宋体" w:cs="Times New Roman"/>
                <w:b/>
                <w:bCs/>
                <w:color w:val="000000"/>
                <w:kern w:val="0"/>
                <w:sz w:val="24"/>
                <w:szCs w:val="24"/>
              </w:rPr>
            </w:pPr>
            <w:r>
              <w:rPr>
                <w:rFonts w:ascii="宋体" w:hAnsi="宋体" w:eastAsia="宋体" w:cs="Times New Roman"/>
                <w:b/>
                <w:bCs/>
                <w:color w:val="000000"/>
                <w:kern w:val="0"/>
                <w:sz w:val="24"/>
                <w:szCs w:val="24"/>
              </w:rPr>
              <w:t>1</w:t>
            </w:r>
          </w:p>
        </w:tc>
      </w:tr>
    </w:tbl>
    <w:p w14:paraId="41F99780">
      <w:pPr>
        <w:adjustRightInd w:val="0"/>
        <w:snapToGrid w:val="0"/>
        <w:spacing w:line="360" w:lineRule="auto"/>
        <w:ind w:firstLine="420" w:firstLineChars="200"/>
        <w:rPr>
          <w:rFonts w:hint="eastAsia"/>
        </w:rPr>
      </w:pPr>
    </w:p>
    <w:p w14:paraId="45992E45">
      <w:pPr>
        <w:spacing w:line="360" w:lineRule="auto"/>
        <w:rPr>
          <w:rFonts w:hint="eastAsia" w:ascii="宋体" w:hAnsi="宋体" w:eastAsia="宋体"/>
          <w:b/>
          <w:bCs/>
          <w:sz w:val="24"/>
          <w:szCs w:val="28"/>
        </w:rPr>
      </w:pPr>
      <w:r>
        <w:rPr>
          <w:rFonts w:hint="eastAsia" w:ascii="宋体" w:hAnsi="宋体" w:eastAsia="宋体"/>
          <w:b/>
          <w:bCs/>
          <w:sz w:val="24"/>
          <w:szCs w:val="28"/>
        </w:rPr>
        <w:t>三、建设清单</w:t>
      </w:r>
    </w:p>
    <w:p w14:paraId="72BCEA4C">
      <w:pPr>
        <w:spacing w:line="360" w:lineRule="auto"/>
        <w:rPr>
          <w:rFonts w:hint="eastAsia" w:ascii="宋体" w:hAnsi="宋体" w:eastAsia="宋体"/>
          <w:sz w:val="24"/>
          <w:szCs w:val="28"/>
        </w:rPr>
      </w:pPr>
      <w:r>
        <w:rPr>
          <w:rFonts w:hint="eastAsia" w:ascii="宋体" w:hAnsi="宋体" w:eastAsia="宋体"/>
          <w:sz w:val="24"/>
          <w:szCs w:val="28"/>
        </w:rPr>
        <w:t>采购清单及规格要求如下：</w:t>
      </w:r>
    </w:p>
    <w:tbl>
      <w:tblPr>
        <w:tblStyle w:val="58"/>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245"/>
        <w:gridCol w:w="5387"/>
        <w:gridCol w:w="708"/>
        <w:gridCol w:w="709"/>
        <w:gridCol w:w="709"/>
      </w:tblGrid>
      <w:tr w14:paraId="624A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shd w:val="clear" w:color="auto" w:fill="auto"/>
            <w:noWrap/>
            <w:vAlign w:val="center"/>
          </w:tcPr>
          <w:p w14:paraId="463E2EB2">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序号</w:t>
            </w:r>
          </w:p>
        </w:tc>
        <w:tc>
          <w:tcPr>
            <w:tcW w:w="1275" w:type="dxa"/>
            <w:shd w:val="clear" w:color="auto" w:fill="auto"/>
            <w:vAlign w:val="center"/>
          </w:tcPr>
          <w:p w14:paraId="5A9237B5">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设备/材料</w:t>
            </w:r>
          </w:p>
        </w:tc>
        <w:tc>
          <w:tcPr>
            <w:tcW w:w="5387" w:type="dxa"/>
            <w:shd w:val="clear" w:color="auto" w:fill="auto"/>
            <w:noWrap/>
            <w:vAlign w:val="center"/>
          </w:tcPr>
          <w:p w14:paraId="366FFAD0">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规格</w:t>
            </w:r>
            <w:r>
              <w:rPr>
                <w:rFonts w:hint="eastAsia" w:ascii="宋体" w:hAnsi="宋体" w:eastAsia="宋体" w:cs="Times New Roman"/>
                <w:b/>
                <w:bCs/>
                <w:kern w:val="0"/>
                <w:sz w:val="24"/>
                <w:szCs w:val="24"/>
              </w:rPr>
              <w:t>要求</w:t>
            </w:r>
          </w:p>
        </w:tc>
        <w:tc>
          <w:tcPr>
            <w:tcW w:w="708" w:type="dxa"/>
            <w:shd w:val="clear" w:color="auto" w:fill="auto"/>
            <w:noWrap/>
            <w:vAlign w:val="center"/>
          </w:tcPr>
          <w:p w14:paraId="00F5D229">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数量</w:t>
            </w:r>
          </w:p>
        </w:tc>
        <w:tc>
          <w:tcPr>
            <w:tcW w:w="709" w:type="dxa"/>
            <w:shd w:val="clear" w:color="auto" w:fill="auto"/>
            <w:noWrap/>
            <w:vAlign w:val="center"/>
          </w:tcPr>
          <w:p w14:paraId="718C2524">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单位</w:t>
            </w:r>
          </w:p>
        </w:tc>
        <w:tc>
          <w:tcPr>
            <w:tcW w:w="709" w:type="dxa"/>
            <w:shd w:val="clear" w:color="auto" w:fill="auto"/>
            <w:noWrap/>
            <w:vAlign w:val="center"/>
          </w:tcPr>
          <w:p w14:paraId="2879C367">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备注</w:t>
            </w:r>
          </w:p>
        </w:tc>
      </w:tr>
      <w:tr w14:paraId="5D92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27" w:type="dxa"/>
            <w:shd w:val="clear" w:color="auto" w:fill="auto"/>
            <w:noWrap/>
            <w:vAlign w:val="center"/>
          </w:tcPr>
          <w:p w14:paraId="4CD642E9">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1275" w:type="dxa"/>
            <w:shd w:val="clear" w:color="auto" w:fill="auto"/>
            <w:vAlign w:val="center"/>
          </w:tcPr>
          <w:p w14:paraId="52D1D4F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高密AP</w:t>
            </w:r>
          </w:p>
        </w:tc>
        <w:tc>
          <w:tcPr>
            <w:tcW w:w="5387" w:type="dxa"/>
            <w:shd w:val="clear" w:color="auto" w:fill="auto"/>
            <w:vAlign w:val="center"/>
          </w:tcPr>
          <w:p w14:paraId="56E3C5EB">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品牌：H3C</w:t>
            </w:r>
          </w:p>
          <w:p w14:paraId="7B2CBF6E">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型号：H3C WA6530</w:t>
            </w:r>
          </w:p>
          <w:p w14:paraId="7EB8D0D9">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甲供，中标单位负责安装，</w:t>
            </w:r>
            <w:r>
              <w:rPr>
                <w:rFonts w:hint="eastAsia" w:ascii="宋体" w:hAnsi="宋体" w:eastAsia="宋体" w:cs="Times New Roman"/>
                <w:kern w:val="0"/>
                <w:sz w:val="24"/>
                <w:szCs w:val="24"/>
              </w:rPr>
              <w:t>部署</w:t>
            </w:r>
            <w:r>
              <w:rPr>
                <w:rFonts w:ascii="宋体" w:hAnsi="宋体" w:eastAsia="宋体" w:cs="Times New Roman"/>
                <w:kern w:val="0"/>
                <w:sz w:val="24"/>
                <w:szCs w:val="24"/>
              </w:rPr>
              <w:t>，调试，优化</w:t>
            </w:r>
          </w:p>
        </w:tc>
        <w:tc>
          <w:tcPr>
            <w:tcW w:w="708" w:type="dxa"/>
            <w:shd w:val="clear" w:color="auto" w:fill="auto"/>
            <w:noWrap/>
            <w:vAlign w:val="center"/>
          </w:tcPr>
          <w:p w14:paraId="133118A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25</w:t>
            </w:r>
          </w:p>
        </w:tc>
        <w:tc>
          <w:tcPr>
            <w:tcW w:w="709" w:type="dxa"/>
            <w:shd w:val="clear" w:color="auto" w:fill="auto"/>
            <w:noWrap/>
            <w:vAlign w:val="center"/>
          </w:tcPr>
          <w:p w14:paraId="5D8AC5C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709" w:type="dxa"/>
            <w:shd w:val="clear" w:color="auto" w:fill="auto"/>
            <w:noWrap/>
            <w:vAlign w:val="center"/>
          </w:tcPr>
          <w:p w14:paraId="2FD3709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甲供</w:t>
            </w:r>
          </w:p>
        </w:tc>
      </w:tr>
      <w:tr w14:paraId="1FD2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shd w:val="clear" w:color="auto" w:fill="auto"/>
            <w:noWrap/>
            <w:vAlign w:val="center"/>
          </w:tcPr>
          <w:p w14:paraId="49F1CBF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w:t>
            </w:r>
          </w:p>
        </w:tc>
        <w:tc>
          <w:tcPr>
            <w:tcW w:w="1275" w:type="dxa"/>
            <w:shd w:val="clear" w:color="auto" w:fill="auto"/>
            <w:vAlign w:val="center"/>
          </w:tcPr>
          <w:p w14:paraId="5C2A6D3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多媒体箱（单开门）</w:t>
            </w:r>
          </w:p>
        </w:tc>
        <w:tc>
          <w:tcPr>
            <w:tcW w:w="5387" w:type="dxa"/>
            <w:shd w:val="clear" w:color="auto" w:fill="auto"/>
            <w:vAlign w:val="center"/>
          </w:tcPr>
          <w:p w14:paraId="62ACB071">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尺寸：≤370*420*110mm （高*宽*深）；支持ONU设备端口向下壁挂安装</w:t>
            </w:r>
          </w:p>
          <w:p w14:paraId="15F9DA9C">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甲供，中标单位负责安装，</w:t>
            </w:r>
            <w:r>
              <w:rPr>
                <w:rFonts w:hint="eastAsia" w:ascii="宋体" w:hAnsi="宋体" w:eastAsia="宋体" w:cs="Times New Roman"/>
                <w:kern w:val="0"/>
                <w:sz w:val="24"/>
                <w:szCs w:val="24"/>
              </w:rPr>
              <w:t>部署</w:t>
            </w:r>
          </w:p>
        </w:tc>
        <w:tc>
          <w:tcPr>
            <w:tcW w:w="708" w:type="dxa"/>
            <w:shd w:val="clear" w:color="auto" w:fill="auto"/>
            <w:noWrap/>
            <w:vAlign w:val="center"/>
          </w:tcPr>
          <w:p w14:paraId="2D445A4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10</w:t>
            </w:r>
          </w:p>
        </w:tc>
        <w:tc>
          <w:tcPr>
            <w:tcW w:w="709" w:type="dxa"/>
            <w:shd w:val="clear" w:color="auto" w:fill="auto"/>
            <w:noWrap/>
            <w:vAlign w:val="center"/>
          </w:tcPr>
          <w:p w14:paraId="32492EB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709" w:type="dxa"/>
            <w:shd w:val="clear" w:color="auto" w:fill="auto"/>
            <w:noWrap/>
            <w:vAlign w:val="center"/>
          </w:tcPr>
          <w:p w14:paraId="3C90F34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甲供</w:t>
            </w:r>
          </w:p>
        </w:tc>
      </w:tr>
      <w:tr w14:paraId="445F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vMerge w:val="restart"/>
            <w:shd w:val="clear" w:color="auto" w:fill="auto"/>
            <w:noWrap/>
            <w:vAlign w:val="center"/>
          </w:tcPr>
          <w:p w14:paraId="6C0D2BF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w:t>
            </w:r>
          </w:p>
        </w:tc>
        <w:tc>
          <w:tcPr>
            <w:tcW w:w="1275" w:type="dxa"/>
            <w:vMerge w:val="restart"/>
            <w:shd w:val="clear" w:color="auto" w:fill="auto"/>
            <w:vAlign w:val="center"/>
          </w:tcPr>
          <w:p w14:paraId="5B079A49">
            <w:pPr>
              <w:widowControl/>
              <w:jc w:val="center"/>
              <w:rPr>
                <w:rFonts w:hint="eastAsia"/>
                <w:color w:val="000000"/>
                <w:szCs w:val="21"/>
              </w:rPr>
            </w:pPr>
            <w:r>
              <w:rPr>
                <w:rFonts w:hint="eastAsia"/>
                <w:color w:val="000000"/>
                <w:szCs w:val="21"/>
              </w:rPr>
              <w:t>▲</w:t>
            </w:r>
          </w:p>
          <w:p w14:paraId="505D1C04">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面板AP</w:t>
            </w:r>
          </w:p>
        </w:tc>
        <w:tc>
          <w:tcPr>
            <w:tcW w:w="5387" w:type="dxa"/>
            <w:shd w:val="clear" w:color="auto" w:fill="auto"/>
            <w:vAlign w:val="center"/>
          </w:tcPr>
          <w:p w14:paraId="1F08AB95">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整机要求：采用双射频设计，整机4条空间流，最高协商速率≥2.975Gbps，≥1个GE电接口（上行），≥2个GE电接口（下行）。所有射频均支持802.11ax协议标准</w:t>
            </w:r>
            <w:r>
              <w:rPr>
                <w:rFonts w:hint="eastAsia" w:ascii="宋体" w:hAnsi="宋体" w:eastAsia="宋体" w:cs="Times New Roman"/>
                <w:kern w:val="0"/>
                <w:sz w:val="24"/>
                <w:szCs w:val="24"/>
              </w:rPr>
              <w:t>（提供原厂五年免费质保承诺函）</w:t>
            </w:r>
          </w:p>
        </w:tc>
        <w:tc>
          <w:tcPr>
            <w:tcW w:w="708" w:type="dxa"/>
            <w:vMerge w:val="restart"/>
            <w:shd w:val="clear" w:color="auto" w:fill="auto"/>
            <w:noWrap/>
            <w:vAlign w:val="center"/>
          </w:tcPr>
          <w:p w14:paraId="2AAB3CB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143</w:t>
            </w:r>
          </w:p>
        </w:tc>
        <w:tc>
          <w:tcPr>
            <w:tcW w:w="709" w:type="dxa"/>
            <w:vMerge w:val="restart"/>
            <w:shd w:val="clear" w:color="auto" w:fill="auto"/>
            <w:noWrap/>
            <w:vAlign w:val="center"/>
          </w:tcPr>
          <w:p w14:paraId="0644D3D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709" w:type="dxa"/>
            <w:vMerge w:val="restart"/>
            <w:shd w:val="clear" w:color="auto" w:fill="auto"/>
            <w:noWrap/>
            <w:vAlign w:val="center"/>
          </w:tcPr>
          <w:p w14:paraId="197F5152">
            <w:pPr>
              <w:widowControl/>
              <w:jc w:val="center"/>
              <w:rPr>
                <w:rFonts w:hint="eastAsia" w:ascii="宋体" w:hAnsi="宋体" w:eastAsia="宋体" w:cs="Times New Roman"/>
                <w:kern w:val="0"/>
                <w:sz w:val="24"/>
                <w:szCs w:val="24"/>
              </w:rPr>
            </w:pPr>
          </w:p>
        </w:tc>
      </w:tr>
      <w:tr w14:paraId="37AE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vMerge w:val="continue"/>
            <w:vAlign w:val="center"/>
          </w:tcPr>
          <w:p w14:paraId="1ECF5E19">
            <w:pPr>
              <w:widowControl/>
              <w:jc w:val="left"/>
              <w:rPr>
                <w:rFonts w:hint="eastAsia" w:ascii="宋体" w:hAnsi="宋体" w:eastAsia="宋体" w:cs="Times New Roman"/>
                <w:kern w:val="0"/>
                <w:sz w:val="24"/>
                <w:szCs w:val="24"/>
              </w:rPr>
            </w:pPr>
          </w:p>
        </w:tc>
        <w:tc>
          <w:tcPr>
            <w:tcW w:w="1275" w:type="dxa"/>
            <w:vMerge w:val="continue"/>
            <w:vAlign w:val="center"/>
          </w:tcPr>
          <w:p w14:paraId="14599FE7">
            <w:pPr>
              <w:widowControl/>
              <w:jc w:val="left"/>
              <w:rPr>
                <w:rFonts w:hint="eastAsia" w:ascii="宋体" w:hAnsi="宋体" w:eastAsia="宋体" w:cs="Times New Roman"/>
                <w:kern w:val="0"/>
                <w:sz w:val="24"/>
                <w:szCs w:val="24"/>
              </w:rPr>
            </w:pPr>
          </w:p>
        </w:tc>
        <w:tc>
          <w:tcPr>
            <w:tcW w:w="5387" w:type="dxa"/>
            <w:shd w:val="clear" w:color="auto" w:fill="auto"/>
            <w:vAlign w:val="center"/>
          </w:tcPr>
          <w:p w14:paraId="4D582AF2">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兼容要求：需与我校现网AC设备兼容，实现统一管理、集中管控</w:t>
            </w:r>
          </w:p>
        </w:tc>
        <w:tc>
          <w:tcPr>
            <w:tcW w:w="708" w:type="dxa"/>
            <w:vMerge w:val="continue"/>
            <w:vAlign w:val="center"/>
          </w:tcPr>
          <w:p w14:paraId="4A747170">
            <w:pPr>
              <w:widowControl/>
              <w:jc w:val="left"/>
              <w:rPr>
                <w:rFonts w:hint="eastAsia" w:ascii="宋体" w:hAnsi="宋体" w:eastAsia="宋体" w:cs="Times New Roman"/>
                <w:kern w:val="0"/>
                <w:sz w:val="24"/>
                <w:szCs w:val="24"/>
              </w:rPr>
            </w:pPr>
          </w:p>
        </w:tc>
        <w:tc>
          <w:tcPr>
            <w:tcW w:w="709" w:type="dxa"/>
            <w:vMerge w:val="continue"/>
            <w:vAlign w:val="center"/>
          </w:tcPr>
          <w:p w14:paraId="7030A243">
            <w:pPr>
              <w:widowControl/>
              <w:jc w:val="left"/>
              <w:rPr>
                <w:rFonts w:hint="eastAsia" w:ascii="宋体" w:hAnsi="宋体" w:eastAsia="宋体" w:cs="Times New Roman"/>
                <w:kern w:val="0"/>
                <w:sz w:val="24"/>
                <w:szCs w:val="24"/>
              </w:rPr>
            </w:pPr>
          </w:p>
        </w:tc>
        <w:tc>
          <w:tcPr>
            <w:tcW w:w="709" w:type="dxa"/>
            <w:vMerge w:val="continue"/>
            <w:vAlign w:val="center"/>
          </w:tcPr>
          <w:p w14:paraId="14CDD69C">
            <w:pPr>
              <w:widowControl/>
              <w:jc w:val="left"/>
              <w:rPr>
                <w:rFonts w:hint="eastAsia" w:ascii="宋体" w:hAnsi="宋体" w:eastAsia="宋体" w:cs="Times New Roman"/>
                <w:kern w:val="0"/>
                <w:sz w:val="24"/>
                <w:szCs w:val="24"/>
              </w:rPr>
            </w:pPr>
          </w:p>
        </w:tc>
      </w:tr>
      <w:tr w14:paraId="1D40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vMerge w:val="restart"/>
            <w:shd w:val="clear" w:color="auto" w:fill="auto"/>
            <w:noWrap/>
            <w:vAlign w:val="center"/>
          </w:tcPr>
          <w:p w14:paraId="48C68D3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w:t>
            </w:r>
          </w:p>
        </w:tc>
        <w:tc>
          <w:tcPr>
            <w:tcW w:w="1275" w:type="dxa"/>
            <w:vMerge w:val="restart"/>
            <w:shd w:val="clear" w:color="auto" w:fill="auto"/>
            <w:vAlign w:val="center"/>
          </w:tcPr>
          <w:p w14:paraId="3B965777">
            <w:pPr>
              <w:widowControl/>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w:t>
            </w:r>
          </w:p>
          <w:p w14:paraId="04246E7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4口ONU</w:t>
            </w:r>
          </w:p>
        </w:tc>
        <w:tc>
          <w:tcPr>
            <w:tcW w:w="5387" w:type="dxa"/>
            <w:shd w:val="clear" w:color="auto" w:fill="auto"/>
            <w:vAlign w:val="center"/>
          </w:tcPr>
          <w:p w14:paraId="04AFA6C0">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整机要求：10G PON技术标准须为：10G EPON（IEEE 802.3av标准），网络侧10G PON口≥1（含对等模块），用户侧GE接口≥4，支持POE/POE+，整机供电功率≥60W</w:t>
            </w:r>
            <w:r>
              <w:rPr>
                <w:rFonts w:hint="eastAsia" w:ascii="宋体" w:hAnsi="宋体" w:eastAsia="宋体" w:cs="Times New Roman"/>
                <w:kern w:val="0"/>
                <w:sz w:val="24"/>
                <w:szCs w:val="24"/>
              </w:rPr>
              <w:t>（提供原厂五年免费质保承诺函）</w:t>
            </w:r>
          </w:p>
        </w:tc>
        <w:tc>
          <w:tcPr>
            <w:tcW w:w="708" w:type="dxa"/>
            <w:vMerge w:val="restart"/>
            <w:shd w:val="clear" w:color="auto" w:fill="auto"/>
            <w:noWrap/>
            <w:vAlign w:val="center"/>
          </w:tcPr>
          <w:p w14:paraId="619CD87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709" w:type="dxa"/>
            <w:vMerge w:val="restart"/>
            <w:shd w:val="clear" w:color="auto" w:fill="auto"/>
            <w:noWrap/>
            <w:vAlign w:val="center"/>
          </w:tcPr>
          <w:p w14:paraId="5928EFF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709" w:type="dxa"/>
            <w:vMerge w:val="restart"/>
            <w:shd w:val="clear" w:color="auto" w:fill="auto"/>
            <w:noWrap/>
            <w:vAlign w:val="center"/>
          </w:tcPr>
          <w:p w14:paraId="128BEE45">
            <w:pPr>
              <w:widowControl/>
              <w:jc w:val="center"/>
              <w:rPr>
                <w:rFonts w:hint="eastAsia" w:ascii="宋体" w:hAnsi="宋体" w:eastAsia="宋体" w:cs="Times New Roman"/>
                <w:kern w:val="0"/>
                <w:sz w:val="24"/>
                <w:szCs w:val="24"/>
              </w:rPr>
            </w:pPr>
          </w:p>
        </w:tc>
      </w:tr>
      <w:tr w14:paraId="2F9F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vMerge w:val="continue"/>
            <w:vAlign w:val="center"/>
          </w:tcPr>
          <w:p w14:paraId="4E3CC9EB">
            <w:pPr>
              <w:widowControl/>
              <w:jc w:val="left"/>
              <w:rPr>
                <w:rFonts w:hint="eastAsia" w:ascii="宋体" w:hAnsi="宋体" w:eastAsia="宋体" w:cs="Times New Roman"/>
                <w:kern w:val="0"/>
                <w:sz w:val="24"/>
                <w:szCs w:val="24"/>
              </w:rPr>
            </w:pPr>
          </w:p>
        </w:tc>
        <w:tc>
          <w:tcPr>
            <w:tcW w:w="1275" w:type="dxa"/>
            <w:vMerge w:val="continue"/>
            <w:vAlign w:val="center"/>
          </w:tcPr>
          <w:p w14:paraId="0D1B1A2F">
            <w:pPr>
              <w:widowControl/>
              <w:jc w:val="left"/>
              <w:rPr>
                <w:rFonts w:hint="eastAsia" w:ascii="宋体" w:hAnsi="宋体" w:eastAsia="宋体" w:cs="Times New Roman"/>
                <w:kern w:val="0"/>
                <w:sz w:val="24"/>
                <w:szCs w:val="24"/>
              </w:rPr>
            </w:pPr>
          </w:p>
        </w:tc>
        <w:tc>
          <w:tcPr>
            <w:tcW w:w="5387" w:type="dxa"/>
            <w:shd w:val="clear" w:color="auto" w:fill="auto"/>
            <w:vAlign w:val="center"/>
          </w:tcPr>
          <w:p w14:paraId="63C8406F">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兼容要求：需与我校现网OLT设备兼容，实现统一管理、集中管控</w:t>
            </w:r>
          </w:p>
        </w:tc>
        <w:tc>
          <w:tcPr>
            <w:tcW w:w="708" w:type="dxa"/>
            <w:vMerge w:val="continue"/>
            <w:vAlign w:val="center"/>
          </w:tcPr>
          <w:p w14:paraId="145CC77B">
            <w:pPr>
              <w:widowControl/>
              <w:jc w:val="left"/>
              <w:rPr>
                <w:rFonts w:hint="eastAsia" w:ascii="宋体" w:hAnsi="宋体" w:eastAsia="宋体" w:cs="Times New Roman"/>
                <w:kern w:val="0"/>
                <w:sz w:val="24"/>
                <w:szCs w:val="24"/>
              </w:rPr>
            </w:pPr>
          </w:p>
        </w:tc>
        <w:tc>
          <w:tcPr>
            <w:tcW w:w="709" w:type="dxa"/>
            <w:vMerge w:val="continue"/>
            <w:vAlign w:val="center"/>
          </w:tcPr>
          <w:p w14:paraId="465D7567">
            <w:pPr>
              <w:widowControl/>
              <w:jc w:val="left"/>
              <w:rPr>
                <w:rFonts w:hint="eastAsia" w:ascii="宋体" w:hAnsi="宋体" w:eastAsia="宋体" w:cs="Times New Roman"/>
                <w:kern w:val="0"/>
                <w:sz w:val="24"/>
                <w:szCs w:val="24"/>
              </w:rPr>
            </w:pPr>
          </w:p>
        </w:tc>
        <w:tc>
          <w:tcPr>
            <w:tcW w:w="709" w:type="dxa"/>
            <w:vMerge w:val="continue"/>
            <w:vAlign w:val="center"/>
          </w:tcPr>
          <w:p w14:paraId="0A6DC158">
            <w:pPr>
              <w:widowControl/>
              <w:jc w:val="left"/>
              <w:rPr>
                <w:rFonts w:hint="eastAsia" w:ascii="宋体" w:hAnsi="宋体" w:eastAsia="宋体" w:cs="Times New Roman"/>
                <w:kern w:val="0"/>
                <w:sz w:val="24"/>
                <w:szCs w:val="24"/>
              </w:rPr>
            </w:pPr>
          </w:p>
        </w:tc>
      </w:tr>
      <w:tr w14:paraId="1006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vMerge w:val="restart"/>
            <w:shd w:val="clear" w:color="auto" w:fill="auto"/>
            <w:noWrap/>
            <w:vAlign w:val="center"/>
          </w:tcPr>
          <w:p w14:paraId="02DDDBB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5</w:t>
            </w:r>
          </w:p>
        </w:tc>
        <w:tc>
          <w:tcPr>
            <w:tcW w:w="1275" w:type="dxa"/>
            <w:vMerge w:val="restart"/>
            <w:shd w:val="clear" w:color="auto" w:fill="auto"/>
            <w:vAlign w:val="center"/>
          </w:tcPr>
          <w:p w14:paraId="42709A99">
            <w:pPr>
              <w:widowControl/>
              <w:jc w:val="center"/>
              <w:rPr>
                <w:rFonts w:hint="eastAsia"/>
                <w:color w:val="000000"/>
                <w:szCs w:val="21"/>
              </w:rPr>
            </w:pPr>
            <w:r>
              <w:rPr>
                <w:rFonts w:hint="eastAsia"/>
                <w:color w:val="000000"/>
                <w:szCs w:val="21"/>
              </w:rPr>
              <w:t>▲</w:t>
            </w:r>
          </w:p>
          <w:p w14:paraId="144276C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8口ONU</w:t>
            </w:r>
          </w:p>
        </w:tc>
        <w:tc>
          <w:tcPr>
            <w:tcW w:w="5387" w:type="dxa"/>
            <w:shd w:val="clear" w:color="auto" w:fill="auto"/>
            <w:vAlign w:val="center"/>
          </w:tcPr>
          <w:p w14:paraId="54D2DFAC">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整机要求：10G PON技术标准须为：10G EPON（IEEE 802.3av标准），网络侧10G PON口≥1（含对等模块），用户侧GE接口≥8，支持POE/POE+，整机供电功率≥120W</w:t>
            </w:r>
            <w:r>
              <w:rPr>
                <w:rFonts w:hint="eastAsia" w:ascii="宋体" w:hAnsi="宋体" w:eastAsia="宋体" w:cs="Times New Roman"/>
                <w:kern w:val="0"/>
                <w:sz w:val="24"/>
                <w:szCs w:val="24"/>
              </w:rPr>
              <w:t>（提供原厂五年免费质保承诺函）</w:t>
            </w:r>
          </w:p>
        </w:tc>
        <w:tc>
          <w:tcPr>
            <w:tcW w:w="708" w:type="dxa"/>
            <w:vMerge w:val="restart"/>
            <w:shd w:val="clear" w:color="auto" w:fill="auto"/>
            <w:noWrap/>
            <w:vAlign w:val="center"/>
          </w:tcPr>
          <w:p w14:paraId="38DBA93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30</w:t>
            </w:r>
          </w:p>
        </w:tc>
        <w:tc>
          <w:tcPr>
            <w:tcW w:w="709" w:type="dxa"/>
            <w:vMerge w:val="restart"/>
            <w:shd w:val="clear" w:color="auto" w:fill="auto"/>
            <w:noWrap/>
            <w:vAlign w:val="center"/>
          </w:tcPr>
          <w:p w14:paraId="5DF88E9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709" w:type="dxa"/>
            <w:vMerge w:val="restart"/>
            <w:shd w:val="clear" w:color="auto" w:fill="auto"/>
            <w:noWrap/>
            <w:vAlign w:val="center"/>
          </w:tcPr>
          <w:p w14:paraId="2383BD68">
            <w:pPr>
              <w:widowControl/>
              <w:jc w:val="center"/>
              <w:rPr>
                <w:rFonts w:hint="eastAsia" w:ascii="宋体" w:hAnsi="宋体" w:eastAsia="宋体" w:cs="Times New Roman"/>
                <w:kern w:val="0"/>
                <w:sz w:val="24"/>
                <w:szCs w:val="24"/>
              </w:rPr>
            </w:pPr>
          </w:p>
        </w:tc>
      </w:tr>
      <w:tr w14:paraId="11E1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vMerge w:val="continue"/>
            <w:vAlign w:val="center"/>
          </w:tcPr>
          <w:p w14:paraId="51DD809C">
            <w:pPr>
              <w:widowControl/>
              <w:jc w:val="left"/>
              <w:rPr>
                <w:rFonts w:hint="eastAsia" w:ascii="宋体" w:hAnsi="宋体" w:eastAsia="宋体" w:cs="Times New Roman"/>
                <w:kern w:val="0"/>
                <w:sz w:val="24"/>
                <w:szCs w:val="24"/>
              </w:rPr>
            </w:pPr>
          </w:p>
        </w:tc>
        <w:tc>
          <w:tcPr>
            <w:tcW w:w="1275" w:type="dxa"/>
            <w:vMerge w:val="continue"/>
            <w:vAlign w:val="center"/>
          </w:tcPr>
          <w:p w14:paraId="399BC274">
            <w:pPr>
              <w:widowControl/>
              <w:jc w:val="left"/>
              <w:rPr>
                <w:rFonts w:hint="eastAsia" w:ascii="宋体" w:hAnsi="宋体" w:eastAsia="宋体" w:cs="Times New Roman"/>
                <w:kern w:val="0"/>
                <w:sz w:val="24"/>
                <w:szCs w:val="24"/>
              </w:rPr>
            </w:pPr>
          </w:p>
        </w:tc>
        <w:tc>
          <w:tcPr>
            <w:tcW w:w="5387" w:type="dxa"/>
            <w:shd w:val="clear" w:color="auto" w:fill="auto"/>
            <w:vAlign w:val="center"/>
          </w:tcPr>
          <w:p w14:paraId="277FB78E">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兼容要求：需与我校现网OLT设备兼容，实现统一管理、集中管控</w:t>
            </w:r>
          </w:p>
        </w:tc>
        <w:tc>
          <w:tcPr>
            <w:tcW w:w="708" w:type="dxa"/>
            <w:vMerge w:val="continue"/>
            <w:vAlign w:val="center"/>
          </w:tcPr>
          <w:p w14:paraId="69B18D23">
            <w:pPr>
              <w:widowControl/>
              <w:jc w:val="left"/>
              <w:rPr>
                <w:rFonts w:hint="eastAsia" w:ascii="宋体" w:hAnsi="宋体" w:eastAsia="宋体" w:cs="Times New Roman"/>
                <w:kern w:val="0"/>
                <w:sz w:val="24"/>
                <w:szCs w:val="24"/>
              </w:rPr>
            </w:pPr>
          </w:p>
        </w:tc>
        <w:tc>
          <w:tcPr>
            <w:tcW w:w="709" w:type="dxa"/>
            <w:vMerge w:val="continue"/>
            <w:vAlign w:val="center"/>
          </w:tcPr>
          <w:p w14:paraId="5B806DA7">
            <w:pPr>
              <w:widowControl/>
              <w:jc w:val="left"/>
              <w:rPr>
                <w:rFonts w:hint="eastAsia" w:ascii="宋体" w:hAnsi="宋体" w:eastAsia="宋体" w:cs="Times New Roman"/>
                <w:kern w:val="0"/>
                <w:sz w:val="24"/>
                <w:szCs w:val="24"/>
              </w:rPr>
            </w:pPr>
          </w:p>
        </w:tc>
        <w:tc>
          <w:tcPr>
            <w:tcW w:w="709" w:type="dxa"/>
            <w:vMerge w:val="continue"/>
            <w:vAlign w:val="center"/>
          </w:tcPr>
          <w:p w14:paraId="68FB75C2">
            <w:pPr>
              <w:widowControl/>
              <w:jc w:val="left"/>
              <w:rPr>
                <w:rFonts w:hint="eastAsia" w:ascii="宋体" w:hAnsi="宋体" w:eastAsia="宋体" w:cs="Times New Roman"/>
                <w:kern w:val="0"/>
                <w:sz w:val="24"/>
                <w:szCs w:val="24"/>
              </w:rPr>
            </w:pPr>
          </w:p>
        </w:tc>
      </w:tr>
      <w:tr w14:paraId="6011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vMerge w:val="restart"/>
            <w:shd w:val="clear" w:color="auto" w:fill="auto"/>
            <w:noWrap/>
            <w:vAlign w:val="center"/>
          </w:tcPr>
          <w:p w14:paraId="14393F6A">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6</w:t>
            </w:r>
          </w:p>
        </w:tc>
        <w:tc>
          <w:tcPr>
            <w:tcW w:w="1275" w:type="dxa"/>
            <w:vMerge w:val="restart"/>
            <w:shd w:val="clear" w:color="auto" w:fill="auto"/>
            <w:vAlign w:val="center"/>
          </w:tcPr>
          <w:p w14:paraId="3E63B268">
            <w:pPr>
              <w:widowControl/>
              <w:jc w:val="center"/>
              <w:rPr>
                <w:rFonts w:hint="eastAsia"/>
                <w:color w:val="000000"/>
                <w:szCs w:val="21"/>
              </w:rPr>
            </w:pPr>
            <w:r>
              <w:rPr>
                <w:rFonts w:hint="eastAsia"/>
                <w:color w:val="000000"/>
                <w:szCs w:val="21"/>
              </w:rPr>
              <w:t>▲</w:t>
            </w:r>
          </w:p>
          <w:p w14:paraId="7342810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16口ONU</w:t>
            </w:r>
          </w:p>
        </w:tc>
        <w:tc>
          <w:tcPr>
            <w:tcW w:w="5387" w:type="dxa"/>
            <w:shd w:val="clear" w:color="auto" w:fill="auto"/>
            <w:vAlign w:val="center"/>
          </w:tcPr>
          <w:p w14:paraId="595BBF61">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整机要求：10G PON技术标准须为：10G EPON（IEEE 802.3av标准），网络侧10G PON口≥1（含对等模块），用户侧GE接口≥8，支持POE/POE+，整机供电功率≥120W</w:t>
            </w:r>
            <w:r>
              <w:rPr>
                <w:rFonts w:hint="eastAsia" w:ascii="宋体" w:hAnsi="宋体" w:eastAsia="宋体" w:cs="Times New Roman"/>
                <w:kern w:val="0"/>
                <w:sz w:val="24"/>
                <w:szCs w:val="24"/>
              </w:rPr>
              <w:t>（提供原厂五年免费质保承诺函）</w:t>
            </w:r>
          </w:p>
        </w:tc>
        <w:tc>
          <w:tcPr>
            <w:tcW w:w="708" w:type="dxa"/>
            <w:vMerge w:val="restart"/>
            <w:shd w:val="clear" w:color="auto" w:fill="auto"/>
            <w:noWrap/>
            <w:vAlign w:val="center"/>
          </w:tcPr>
          <w:p w14:paraId="2FC9D91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709" w:type="dxa"/>
            <w:vMerge w:val="restart"/>
            <w:shd w:val="clear" w:color="auto" w:fill="auto"/>
            <w:noWrap/>
            <w:vAlign w:val="center"/>
          </w:tcPr>
          <w:p w14:paraId="6D9ADE1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709" w:type="dxa"/>
            <w:vMerge w:val="restart"/>
            <w:shd w:val="clear" w:color="auto" w:fill="auto"/>
            <w:noWrap/>
            <w:vAlign w:val="center"/>
          </w:tcPr>
          <w:p w14:paraId="6946E6CE">
            <w:pPr>
              <w:widowControl/>
              <w:jc w:val="center"/>
              <w:rPr>
                <w:rFonts w:hint="eastAsia" w:ascii="宋体" w:hAnsi="宋体" w:eastAsia="宋体" w:cs="Times New Roman"/>
                <w:kern w:val="0"/>
                <w:sz w:val="24"/>
                <w:szCs w:val="24"/>
              </w:rPr>
            </w:pPr>
          </w:p>
        </w:tc>
      </w:tr>
      <w:tr w14:paraId="154C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vMerge w:val="continue"/>
            <w:vAlign w:val="center"/>
          </w:tcPr>
          <w:p w14:paraId="12D9A0A0">
            <w:pPr>
              <w:widowControl/>
              <w:jc w:val="left"/>
              <w:rPr>
                <w:rFonts w:hint="eastAsia" w:ascii="宋体" w:hAnsi="宋体" w:eastAsia="宋体" w:cs="Times New Roman"/>
                <w:kern w:val="0"/>
                <w:sz w:val="24"/>
                <w:szCs w:val="24"/>
              </w:rPr>
            </w:pPr>
          </w:p>
        </w:tc>
        <w:tc>
          <w:tcPr>
            <w:tcW w:w="1275" w:type="dxa"/>
            <w:vMerge w:val="continue"/>
            <w:vAlign w:val="center"/>
          </w:tcPr>
          <w:p w14:paraId="41F3D1A6">
            <w:pPr>
              <w:widowControl/>
              <w:jc w:val="left"/>
              <w:rPr>
                <w:rFonts w:hint="eastAsia" w:ascii="宋体" w:hAnsi="宋体" w:eastAsia="宋体" w:cs="Times New Roman"/>
                <w:kern w:val="0"/>
                <w:sz w:val="24"/>
                <w:szCs w:val="24"/>
              </w:rPr>
            </w:pPr>
          </w:p>
        </w:tc>
        <w:tc>
          <w:tcPr>
            <w:tcW w:w="5387" w:type="dxa"/>
            <w:shd w:val="clear" w:color="auto" w:fill="auto"/>
            <w:vAlign w:val="center"/>
          </w:tcPr>
          <w:p w14:paraId="41BE97A2">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兼容要求：需与我校现网OLT设备兼容，实现统一管理、集中管控</w:t>
            </w:r>
          </w:p>
        </w:tc>
        <w:tc>
          <w:tcPr>
            <w:tcW w:w="708" w:type="dxa"/>
            <w:vMerge w:val="continue"/>
            <w:vAlign w:val="center"/>
          </w:tcPr>
          <w:p w14:paraId="47CC02E2">
            <w:pPr>
              <w:widowControl/>
              <w:jc w:val="left"/>
              <w:rPr>
                <w:rFonts w:hint="eastAsia" w:ascii="宋体" w:hAnsi="宋体" w:eastAsia="宋体" w:cs="Times New Roman"/>
                <w:kern w:val="0"/>
                <w:sz w:val="24"/>
                <w:szCs w:val="24"/>
              </w:rPr>
            </w:pPr>
          </w:p>
        </w:tc>
        <w:tc>
          <w:tcPr>
            <w:tcW w:w="709" w:type="dxa"/>
            <w:vMerge w:val="continue"/>
            <w:vAlign w:val="center"/>
          </w:tcPr>
          <w:p w14:paraId="78977A8E">
            <w:pPr>
              <w:widowControl/>
              <w:jc w:val="left"/>
              <w:rPr>
                <w:rFonts w:hint="eastAsia" w:ascii="宋体" w:hAnsi="宋体" w:eastAsia="宋体" w:cs="Times New Roman"/>
                <w:kern w:val="0"/>
                <w:sz w:val="24"/>
                <w:szCs w:val="24"/>
              </w:rPr>
            </w:pPr>
          </w:p>
        </w:tc>
        <w:tc>
          <w:tcPr>
            <w:tcW w:w="709" w:type="dxa"/>
            <w:vMerge w:val="continue"/>
            <w:vAlign w:val="center"/>
          </w:tcPr>
          <w:p w14:paraId="66458D59">
            <w:pPr>
              <w:widowControl/>
              <w:jc w:val="left"/>
              <w:rPr>
                <w:rFonts w:hint="eastAsia" w:ascii="宋体" w:hAnsi="宋体" w:eastAsia="宋体" w:cs="Times New Roman"/>
                <w:kern w:val="0"/>
                <w:sz w:val="24"/>
                <w:szCs w:val="24"/>
              </w:rPr>
            </w:pPr>
          </w:p>
        </w:tc>
      </w:tr>
      <w:tr w14:paraId="659F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vMerge w:val="restart"/>
            <w:shd w:val="clear" w:color="auto" w:fill="auto"/>
            <w:noWrap/>
            <w:vAlign w:val="center"/>
          </w:tcPr>
          <w:p w14:paraId="3314A47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7</w:t>
            </w:r>
          </w:p>
        </w:tc>
        <w:tc>
          <w:tcPr>
            <w:tcW w:w="1275" w:type="dxa"/>
            <w:vMerge w:val="restart"/>
            <w:shd w:val="clear" w:color="auto" w:fill="auto"/>
            <w:vAlign w:val="center"/>
          </w:tcPr>
          <w:p w14:paraId="75F41C50">
            <w:pPr>
              <w:widowControl/>
              <w:jc w:val="center"/>
              <w:rPr>
                <w:rFonts w:hint="eastAsia"/>
                <w:color w:val="000000"/>
                <w:szCs w:val="21"/>
              </w:rPr>
            </w:pPr>
            <w:r>
              <w:rPr>
                <w:rFonts w:hint="eastAsia"/>
                <w:color w:val="000000"/>
                <w:szCs w:val="21"/>
              </w:rPr>
              <w:t>▲</w:t>
            </w:r>
          </w:p>
          <w:p w14:paraId="39F774C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OLT业务板卡</w:t>
            </w:r>
          </w:p>
        </w:tc>
        <w:tc>
          <w:tcPr>
            <w:tcW w:w="5387" w:type="dxa"/>
            <w:shd w:val="clear" w:color="auto" w:fill="auto"/>
            <w:vAlign w:val="center"/>
          </w:tcPr>
          <w:p w14:paraId="6547CB8F">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OLT设备，业务扩展板卡，支持12端口10G EPON口(满配对等模块)，8端口万兆光口</w:t>
            </w:r>
            <w:r>
              <w:rPr>
                <w:rFonts w:hint="eastAsia" w:ascii="宋体" w:hAnsi="宋体" w:eastAsia="宋体" w:cs="Times New Roman"/>
                <w:kern w:val="0"/>
                <w:sz w:val="24"/>
                <w:szCs w:val="24"/>
              </w:rPr>
              <w:t>（提供原厂五年免费质保承诺函）</w:t>
            </w:r>
          </w:p>
        </w:tc>
        <w:tc>
          <w:tcPr>
            <w:tcW w:w="708" w:type="dxa"/>
            <w:vMerge w:val="restart"/>
            <w:shd w:val="clear" w:color="auto" w:fill="auto"/>
            <w:noWrap/>
            <w:vAlign w:val="center"/>
          </w:tcPr>
          <w:p w14:paraId="0E5921EA">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709" w:type="dxa"/>
            <w:vMerge w:val="restart"/>
            <w:shd w:val="clear" w:color="auto" w:fill="auto"/>
            <w:noWrap/>
            <w:vAlign w:val="center"/>
          </w:tcPr>
          <w:p w14:paraId="0C76D63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套</w:t>
            </w:r>
          </w:p>
        </w:tc>
        <w:tc>
          <w:tcPr>
            <w:tcW w:w="709" w:type="dxa"/>
            <w:vMerge w:val="restart"/>
            <w:shd w:val="clear" w:color="auto" w:fill="auto"/>
            <w:vAlign w:val="center"/>
          </w:tcPr>
          <w:p w14:paraId="4605BFE5">
            <w:pPr>
              <w:widowControl/>
              <w:jc w:val="center"/>
              <w:rPr>
                <w:rFonts w:hint="eastAsia" w:ascii="宋体" w:hAnsi="宋体" w:eastAsia="宋体" w:cs="Times New Roman"/>
                <w:kern w:val="0"/>
                <w:sz w:val="24"/>
                <w:szCs w:val="24"/>
              </w:rPr>
            </w:pPr>
          </w:p>
        </w:tc>
      </w:tr>
      <w:tr w14:paraId="79B1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vMerge w:val="continue"/>
            <w:vAlign w:val="center"/>
          </w:tcPr>
          <w:p w14:paraId="366EAB30">
            <w:pPr>
              <w:widowControl/>
              <w:jc w:val="left"/>
              <w:rPr>
                <w:rFonts w:hint="eastAsia" w:ascii="宋体" w:hAnsi="宋体" w:eastAsia="宋体" w:cs="Times New Roman"/>
                <w:kern w:val="0"/>
                <w:sz w:val="24"/>
                <w:szCs w:val="24"/>
              </w:rPr>
            </w:pPr>
          </w:p>
        </w:tc>
        <w:tc>
          <w:tcPr>
            <w:tcW w:w="1275" w:type="dxa"/>
            <w:vMerge w:val="continue"/>
            <w:vAlign w:val="center"/>
          </w:tcPr>
          <w:p w14:paraId="4EAA3225">
            <w:pPr>
              <w:widowControl/>
              <w:jc w:val="left"/>
              <w:rPr>
                <w:rFonts w:hint="eastAsia" w:ascii="宋体" w:hAnsi="宋体" w:eastAsia="宋体" w:cs="Times New Roman"/>
                <w:kern w:val="0"/>
                <w:sz w:val="24"/>
                <w:szCs w:val="24"/>
              </w:rPr>
            </w:pPr>
          </w:p>
        </w:tc>
        <w:tc>
          <w:tcPr>
            <w:tcW w:w="5387" w:type="dxa"/>
            <w:shd w:val="clear" w:color="auto" w:fill="auto"/>
            <w:vAlign w:val="center"/>
          </w:tcPr>
          <w:p w14:paraId="725289E2">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兼容要求：需与我校现网OLT设备兼容，实现统一管理、集中管控</w:t>
            </w:r>
          </w:p>
        </w:tc>
        <w:tc>
          <w:tcPr>
            <w:tcW w:w="708" w:type="dxa"/>
            <w:vMerge w:val="continue"/>
            <w:vAlign w:val="center"/>
          </w:tcPr>
          <w:p w14:paraId="63809823">
            <w:pPr>
              <w:widowControl/>
              <w:jc w:val="left"/>
              <w:rPr>
                <w:rFonts w:hint="eastAsia" w:ascii="宋体" w:hAnsi="宋体" w:eastAsia="宋体" w:cs="Times New Roman"/>
                <w:kern w:val="0"/>
                <w:sz w:val="24"/>
                <w:szCs w:val="24"/>
              </w:rPr>
            </w:pPr>
          </w:p>
        </w:tc>
        <w:tc>
          <w:tcPr>
            <w:tcW w:w="709" w:type="dxa"/>
            <w:vMerge w:val="continue"/>
            <w:vAlign w:val="center"/>
          </w:tcPr>
          <w:p w14:paraId="57596C6D">
            <w:pPr>
              <w:widowControl/>
              <w:jc w:val="left"/>
              <w:rPr>
                <w:rFonts w:hint="eastAsia" w:ascii="宋体" w:hAnsi="宋体" w:eastAsia="宋体" w:cs="Times New Roman"/>
                <w:kern w:val="0"/>
                <w:sz w:val="24"/>
                <w:szCs w:val="24"/>
              </w:rPr>
            </w:pPr>
          </w:p>
        </w:tc>
        <w:tc>
          <w:tcPr>
            <w:tcW w:w="709" w:type="dxa"/>
            <w:vMerge w:val="continue"/>
            <w:vAlign w:val="center"/>
          </w:tcPr>
          <w:p w14:paraId="1CA17927">
            <w:pPr>
              <w:widowControl/>
              <w:jc w:val="left"/>
              <w:rPr>
                <w:rFonts w:hint="eastAsia" w:ascii="宋体" w:hAnsi="宋体" w:eastAsia="宋体" w:cs="Times New Roman"/>
                <w:kern w:val="0"/>
                <w:sz w:val="24"/>
                <w:szCs w:val="24"/>
              </w:rPr>
            </w:pPr>
          </w:p>
        </w:tc>
      </w:tr>
      <w:tr w14:paraId="768E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shd w:val="clear" w:color="auto" w:fill="auto"/>
            <w:noWrap/>
            <w:vAlign w:val="center"/>
          </w:tcPr>
          <w:p w14:paraId="29C949C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8</w:t>
            </w:r>
          </w:p>
        </w:tc>
        <w:tc>
          <w:tcPr>
            <w:tcW w:w="1275" w:type="dxa"/>
            <w:shd w:val="clear" w:color="auto" w:fill="auto"/>
            <w:vAlign w:val="center"/>
          </w:tcPr>
          <w:p w14:paraId="2A2129E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2芯单模软铠装室内光缆</w:t>
            </w:r>
          </w:p>
        </w:tc>
        <w:tc>
          <w:tcPr>
            <w:tcW w:w="5387" w:type="dxa"/>
            <w:shd w:val="clear" w:color="auto" w:fill="auto"/>
            <w:vAlign w:val="center"/>
          </w:tcPr>
          <w:p w14:paraId="555109A9">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0.6mm着色紧包光纤x2芯；螺旋钢带铠装：外径2.1mm，单边壁厚:0.22mm； 光缆保护套：3.3mm±0.10mm，单边厚度：0.40mm；最大衰减：0.4dB/km@1310nm； 0.3dB/km@1550nm；工作稳温度：低烟无卤（LSZH） -40℃至+85℃；光缆外径：3.3mm±0.10mm</w:t>
            </w:r>
          </w:p>
        </w:tc>
        <w:tc>
          <w:tcPr>
            <w:tcW w:w="708" w:type="dxa"/>
            <w:shd w:val="clear" w:color="auto" w:fill="auto"/>
            <w:noWrap/>
            <w:vAlign w:val="center"/>
          </w:tcPr>
          <w:p w14:paraId="20EC7F9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3540</w:t>
            </w:r>
          </w:p>
        </w:tc>
        <w:tc>
          <w:tcPr>
            <w:tcW w:w="709" w:type="dxa"/>
            <w:shd w:val="clear" w:color="auto" w:fill="auto"/>
            <w:noWrap/>
            <w:vAlign w:val="center"/>
          </w:tcPr>
          <w:p w14:paraId="2BE6E27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米</w:t>
            </w:r>
          </w:p>
        </w:tc>
        <w:tc>
          <w:tcPr>
            <w:tcW w:w="709" w:type="dxa"/>
            <w:shd w:val="clear" w:color="auto" w:fill="auto"/>
            <w:noWrap/>
            <w:vAlign w:val="center"/>
          </w:tcPr>
          <w:p w14:paraId="538A2A85">
            <w:pPr>
              <w:widowControl/>
              <w:jc w:val="center"/>
              <w:rPr>
                <w:rFonts w:hint="eastAsia" w:ascii="宋体" w:hAnsi="宋体" w:eastAsia="宋体" w:cs="Times New Roman"/>
                <w:kern w:val="0"/>
                <w:sz w:val="24"/>
                <w:szCs w:val="24"/>
              </w:rPr>
            </w:pPr>
          </w:p>
        </w:tc>
      </w:tr>
      <w:tr w14:paraId="0FC7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427" w:type="dxa"/>
            <w:shd w:val="clear" w:color="auto" w:fill="auto"/>
            <w:noWrap/>
            <w:vAlign w:val="center"/>
          </w:tcPr>
          <w:p w14:paraId="44A9755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9</w:t>
            </w:r>
          </w:p>
        </w:tc>
        <w:tc>
          <w:tcPr>
            <w:tcW w:w="1275" w:type="dxa"/>
            <w:shd w:val="clear" w:color="auto" w:fill="auto"/>
            <w:vAlign w:val="center"/>
          </w:tcPr>
          <w:p w14:paraId="34084BF9">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12芯室外单模铠装光缆</w:t>
            </w:r>
          </w:p>
        </w:tc>
        <w:tc>
          <w:tcPr>
            <w:tcW w:w="5387" w:type="dxa"/>
            <w:shd w:val="clear" w:color="auto" w:fill="auto"/>
            <w:vAlign w:val="center"/>
          </w:tcPr>
          <w:p w14:paraId="3D576B78">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符合标准：YD/T901-2018 光纤衰减：@1310nm ≤0.36 dB/km，@1550nm ≤0.22 dB/km；光纤规格：B1.3（G652D）；包层不圆度：≤1％ 模场直径（MDF）：@1310nm 9.2±0.4μm；光纤折射率：@1310nm  1.466，@1550nm  1.467 铠装层：双面涂塑铝带+双面涂塑钢带 中心加强件： 磷化圆钢丝 静态/动态弯曲半径： 10D/20D 允许压扁力(长期/短期)（N/100mm）： 1000/3000 允许拉伸力(长期/短期)（N）：1000/3000 光缆芯数：12芯</w:t>
            </w:r>
          </w:p>
        </w:tc>
        <w:tc>
          <w:tcPr>
            <w:tcW w:w="708" w:type="dxa"/>
            <w:shd w:val="clear" w:color="auto" w:fill="auto"/>
            <w:noWrap/>
            <w:vAlign w:val="center"/>
          </w:tcPr>
          <w:p w14:paraId="5DC2B68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1050</w:t>
            </w:r>
          </w:p>
        </w:tc>
        <w:tc>
          <w:tcPr>
            <w:tcW w:w="709" w:type="dxa"/>
            <w:shd w:val="clear" w:color="auto" w:fill="auto"/>
            <w:noWrap/>
            <w:vAlign w:val="center"/>
          </w:tcPr>
          <w:p w14:paraId="11E1546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米</w:t>
            </w:r>
          </w:p>
        </w:tc>
        <w:tc>
          <w:tcPr>
            <w:tcW w:w="709" w:type="dxa"/>
            <w:shd w:val="clear" w:color="auto" w:fill="auto"/>
            <w:noWrap/>
            <w:vAlign w:val="center"/>
          </w:tcPr>
          <w:p w14:paraId="0C6EBFF8">
            <w:pPr>
              <w:widowControl/>
              <w:jc w:val="center"/>
              <w:rPr>
                <w:rFonts w:hint="eastAsia" w:ascii="宋体" w:hAnsi="宋体" w:eastAsia="宋体" w:cs="Times New Roman"/>
                <w:kern w:val="0"/>
                <w:sz w:val="24"/>
                <w:szCs w:val="24"/>
              </w:rPr>
            </w:pPr>
          </w:p>
        </w:tc>
      </w:tr>
      <w:tr w14:paraId="674A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shd w:val="clear" w:color="auto" w:fill="auto"/>
            <w:noWrap/>
            <w:vAlign w:val="center"/>
          </w:tcPr>
          <w:p w14:paraId="69D9D4A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10</w:t>
            </w:r>
          </w:p>
        </w:tc>
        <w:tc>
          <w:tcPr>
            <w:tcW w:w="1275" w:type="dxa"/>
            <w:shd w:val="clear" w:color="auto" w:fill="auto"/>
            <w:vAlign w:val="center"/>
          </w:tcPr>
          <w:p w14:paraId="64BFD52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六类网线</w:t>
            </w:r>
          </w:p>
        </w:tc>
        <w:tc>
          <w:tcPr>
            <w:tcW w:w="5387" w:type="dxa"/>
            <w:shd w:val="clear" w:color="auto" w:fill="auto"/>
            <w:vAlign w:val="center"/>
          </w:tcPr>
          <w:p w14:paraId="2E60DB69">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国标非屏蔽网线；绝缘层：高密度聚乙烯（HDPE）厚度：0.2mm；外护套：聚氯乙烯（PVC）或低烟无卤聚烯烃（LSZH)厚度：0.55mm；线缆外径：6.3mm；最大电容：≤5.6nF/100m；特性阻抗: (f：1-250MHz)100±15Ω</w:t>
            </w:r>
          </w:p>
        </w:tc>
        <w:tc>
          <w:tcPr>
            <w:tcW w:w="708" w:type="dxa"/>
            <w:shd w:val="clear" w:color="auto" w:fill="auto"/>
            <w:noWrap/>
            <w:vAlign w:val="center"/>
          </w:tcPr>
          <w:p w14:paraId="54CE255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12</w:t>
            </w:r>
          </w:p>
        </w:tc>
        <w:tc>
          <w:tcPr>
            <w:tcW w:w="709" w:type="dxa"/>
            <w:shd w:val="clear" w:color="auto" w:fill="auto"/>
            <w:noWrap/>
            <w:vAlign w:val="center"/>
          </w:tcPr>
          <w:p w14:paraId="037C089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箱</w:t>
            </w:r>
          </w:p>
        </w:tc>
        <w:tc>
          <w:tcPr>
            <w:tcW w:w="709" w:type="dxa"/>
            <w:shd w:val="clear" w:color="auto" w:fill="auto"/>
            <w:noWrap/>
            <w:vAlign w:val="center"/>
          </w:tcPr>
          <w:p w14:paraId="4861B430">
            <w:pPr>
              <w:widowControl/>
              <w:jc w:val="center"/>
              <w:rPr>
                <w:rFonts w:hint="eastAsia" w:ascii="宋体" w:hAnsi="宋体" w:eastAsia="宋体" w:cs="Times New Roman"/>
                <w:kern w:val="0"/>
                <w:sz w:val="24"/>
                <w:szCs w:val="24"/>
              </w:rPr>
            </w:pPr>
          </w:p>
        </w:tc>
      </w:tr>
      <w:tr w14:paraId="2FEC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shd w:val="clear" w:color="auto" w:fill="auto"/>
            <w:noWrap/>
            <w:vAlign w:val="center"/>
          </w:tcPr>
          <w:p w14:paraId="2C26194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11</w:t>
            </w:r>
          </w:p>
        </w:tc>
        <w:tc>
          <w:tcPr>
            <w:tcW w:w="1275" w:type="dxa"/>
            <w:shd w:val="clear" w:color="auto" w:fill="auto"/>
            <w:vAlign w:val="center"/>
          </w:tcPr>
          <w:p w14:paraId="4CA490D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六类水晶头</w:t>
            </w:r>
          </w:p>
        </w:tc>
        <w:tc>
          <w:tcPr>
            <w:tcW w:w="5387" w:type="dxa"/>
            <w:shd w:val="clear" w:color="auto" w:fill="auto"/>
            <w:vAlign w:val="center"/>
          </w:tcPr>
          <w:p w14:paraId="605525A0">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塑塑胶壳：聚碳酸脂，UL-94-VO or UL-94-V2；金片：铜合金；导体：单股线26AWG；芯线直径：Φ96～Φ1.02均可适用；绝缘电阻≥100MΩ；耐力测试：至少150次之插拔测试</w:t>
            </w:r>
          </w:p>
        </w:tc>
        <w:tc>
          <w:tcPr>
            <w:tcW w:w="708" w:type="dxa"/>
            <w:shd w:val="clear" w:color="auto" w:fill="auto"/>
            <w:noWrap/>
            <w:vAlign w:val="center"/>
          </w:tcPr>
          <w:p w14:paraId="3D915AB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336</w:t>
            </w:r>
          </w:p>
        </w:tc>
        <w:tc>
          <w:tcPr>
            <w:tcW w:w="709" w:type="dxa"/>
            <w:shd w:val="clear" w:color="auto" w:fill="auto"/>
            <w:noWrap/>
            <w:vAlign w:val="center"/>
          </w:tcPr>
          <w:p w14:paraId="0C5123E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709" w:type="dxa"/>
            <w:shd w:val="clear" w:color="auto" w:fill="auto"/>
            <w:noWrap/>
            <w:vAlign w:val="center"/>
          </w:tcPr>
          <w:p w14:paraId="1FDB021A">
            <w:pPr>
              <w:widowControl/>
              <w:jc w:val="center"/>
              <w:rPr>
                <w:rFonts w:hint="eastAsia" w:ascii="宋体" w:hAnsi="宋体" w:eastAsia="宋体" w:cs="Times New Roman"/>
                <w:kern w:val="0"/>
                <w:sz w:val="24"/>
                <w:szCs w:val="24"/>
              </w:rPr>
            </w:pPr>
          </w:p>
        </w:tc>
      </w:tr>
      <w:tr w14:paraId="6D81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27" w:type="dxa"/>
            <w:shd w:val="clear" w:color="auto" w:fill="auto"/>
            <w:noWrap/>
            <w:vAlign w:val="center"/>
          </w:tcPr>
          <w:p w14:paraId="1B40F65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12</w:t>
            </w:r>
          </w:p>
        </w:tc>
        <w:tc>
          <w:tcPr>
            <w:tcW w:w="1275" w:type="dxa"/>
            <w:shd w:val="clear" w:color="auto" w:fill="auto"/>
            <w:vAlign w:val="center"/>
          </w:tcPr>
          <w:p w14:paraId="2637FC8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多媒体箱（单开门）</w:t>
            </w:r>
          </w:p>
        </w:tc>
        <w:tc>
          <w:tcPr>
            <w:tcW w:w="5387" w:type="dxa"/>
            <w:shd w:val="clear" w:color="auto" w:fill="auto"/>
            <w:vAlign w:val="center"/>
          </w:tcPr>
          <w:p w14:paraId="4CE02129">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尺寸：≤370*420*110mm （高*宽*深）；钢板壁厚≥1.2mm,配置锁芯、插排、熔接等配件材料；采用优质钣金材质，表面静电喷涂，有较好的机械强度，外型美观大方，坚固耐用；箱体采用强、弱电分离的进线方式；箱体内配备背板，支持ONU设备端口向下壁挂安装于多媒体箱内部；箱体底部具备观察孔，无需开箱即可观察设备运行指示灯，实现快速维护；满足光纤弯曲半径大于30mm，具有安全可靠的光纤接续</w:t>
            </w:r>
          </w:p>
        </w:tc>
        <w:tc>
          <w:tcPr>
            <w:tcW w:w="708" w:type="dxa"/>
            <w:shd w:val="clear" w:color="auto" w:fill="auto"/>
            <w:noWrap/>
            <w:vAlign w:val="center"/>
          </w:tcPr>
          <w:p w14:paraId="4D64F25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23</w:t>
            </w:r>
          </w:p>
        </w:tc>
        <w:tc>
          <w:tcPr>
            <w:tcW w:w="709" w:type="dxa"/>
            <w:shd w:val="clear" w:color="auto" w:fill="auto"/>
            <w:noWrap/>
            <w:vAlign w:val="center"/>
          </w:tcPr>
          <w:p w14:paraId="34B2DD2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709" w:type="dxa"/>
            <w:shd w:val="clear" w:color="auto" w:fill="auto"/>
            <w:noWrap/>
            <w:vAlign w:val="center"/>
          </w:tcPr>
          <w:p w14:paraId="4CDA4B26">
            <w:pPr>
              <w:widowControl/>
              <w:jc w:val="center"/>
              <w:rPr>
                <w:rFonts w:hint="eastAsia" w:ascii="宋体" w:hAnsi="宋体" w:eastAsia="宋体" w:cs="Times New Roman"/>
                <w:kern w:val="0"/>
                <w:sz w:val="24"/>
                <w:szCs w:val="24"/>
              </w:rPr>
            </w:pPr>
          </w:p>
        </w:tc>
      </w:tr>
      <w:tr w14:paraId="3E5C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shd w:val="clear" w:color="auto" w:fill="auto"/>
            <w:noWrap/>
            <w:vAlign w:val="center"/>
          </w:tcPr>
          <w:p w14:paraId="2A054E0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13</w:t>
            </w:r>
          </w:p>
        </w:tc>
        <w:tc>
          <w:tcPr>
            <w:tcW w:w="1275" w:type="dxa"/>
            <w:shd w:val="clear" w:color="auto" w:fill="auto"/>
            <w:vAlign w:val="center"/>
          </w:tcPr>
          <w:p w14:paraId="289066E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2口熔接盒（SC口）</w:t>
            </w:r>
          </w:p>
        </w:tc>
        <w:tc>
          <w:tcPr>
            <w:tcW w:w="5387" w:type="dxa"/>
            <w:shd w:val="clear" w:color="auto" w:fill="auto"/>
            <w:vAlign w:val="center"/>
          </w:tcPr>
          <w:p w14:paraId="46C84A0A">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端口数：2口（SC口）；熔纤量：最大为2芯；尺寸：≤120*70*35mm(长宽厚)；材质：采用优质钣金，表面静电喷涂</w:t>
            </w:r>
          </w:p>
        </w:tc>
        <w:tc>
          <w:tcPr>
            <w:tcW w:w="708" w:type="dxa"/>
            <w:shd w:val="clear" w:color="auto" w:fill="auto"/>
            <w:noWrap/>
            <w:vAlign w:val="center"/>
          </w:tcPr>
          <w:p w14:paraId="0CCD3C39">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32</w:t>
            </w:r>
          </w:p>
        </w:tc>
        <w:tc>
          <w:tcPr>
            <w:tcW w:w="709" w:type="dxa"/>
            <w:shd w:val="clear" w:color="auto" w:fill="auto"/>
            <w:noWrap/>
            <w:vAlign w:val="center"/>
          </w:tcPr>
          <w:p w14:paraId="388C215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709" w:type="dxa"/>
            <w:shd w:val="clear" w:color="auto" w:fill="auto"/>
            <w:noWrap/>
            <w:vAlign w:val="center"/>
          </w:tcPr>
          <w:p w14:paraId="72E7B6C8">
            <w:pPr>
              <w:widowControl/>
              <w:jc w:val="center"/>
              <w:rPr>
                <w:rFonts w:hint="eastAsia" w:ascii="宋体" w:hAnsi="宋体" w:eastAsia="宋体" w:cs="Times New Roman"/>
                <w:kern w:val="0"/>
                <w:sz w:val="24"/>
                <w:szCs w:val="24"/>
              </w:rPr>
            </w:pPr>
          </w:p>
        </w:tc>
      </w:tr>
      <w:tr w14:paraId="4689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shd w:val="clear" w:color="auto" w:fill="auto"/>
            <w:noWrap/>
            <w:vAlign w:val="center"/>
          </w:tcPr>
          <w:p w14:paraId="6CB7F55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14</w:t>
            </w:r>
          </w:p>
        </w:tc>
        <w:tc>
          <w:tcPr>
            <w:tcW w:w="1275" w:type="dxa"/>
            <w:shd w:val="clear" w:color="auto" w:fill="auto"/>
            <w:vAlign w:val="center"/>
          </w:tcPr>
          <w:p w14:paraId="684B3CD4">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SC法兰盘</w:t>
            </w:r>
          </w:p>
        </w:tc>
        <w:tc>
          <w:tcPr>
            <w:tcW w:w="5387" w:type="dxa"/>
            <w:shd w:val="clear" w:color="auto" w:fill="auto"/>
            <w:vAlign w:val="center"/>
          </w:tcPr>
          <w:p w14:paraId="29697C8A">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SC单模法兰盘；材料：陶瓷套管；插入损耗（含重复性）：≤0.2dB；重复性：≥500次；互换性：≤0.2dB</w:t>
            </w:r>
          </w:p>
        </w:tc>
        <w:tc>
          <w:tcPr>
            <w:tcW w:w="708" w:type="dxa"/>
            <w:shd w:val="clear" w:color="auto" w:fill="auto"/>
            <w:noWrap/>
            <w:vAlign w:val="center"/>
          </w:tcPr>
          <w:p w14:paraId="4EDB86B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176</w:t>
            </w:r>
          </w:p>
        </w:tc>
        <w:tc>
          <w:tcPr>
            <w:tcW w:w="709" w:type="dxa"/>
            <w:shd w:val="clear" w:color="auto" w:fill="auto"/>
            <w:noWrap/>
            <w:vAlign w:val="center"/>
          </w:tcPr>
          <w:p w14:paraId="56CBC00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709" w:type="dxa"/>
            <w:shd w:val="clear" w:color="auto" w:fill="auto"/>
            <w:noWrap/>
            <w:vAlign w:val="center"/>
          </w:tcPr>
          <w:p w14:paraId="619259BB">
            <w:pPr>
              <w:widowControl/>
              <w:jc w:val="center"/>
              <w:rPr>
                <w:rFonts w:hint="eastAsia" w:ascii="宋体" w:hAnsi="宋体" w:eastAsia="宋体" w:cs="Times New Roman"/>
                <w:kern w:val="0"/>
                <w:sz w:val="24"/>
                <w:szCs w:val="24"/>
              </w:rPr>
            </w:pPr>
          </w:p>
        </w:tc>
      </w:tr>
      <w:tr w14:paraId="50C6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shd w:val="clear" w:color="auto" w:fill="auto"/>
            <w:noWrap/>
            <w:vAlign w:val="center"/>
          </w:tcPr>
          <w:p w14:paraId="188C63A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15</w:t>
            </w:r>
          </w:p>
        </w:tc>
        <w:tc>
          <w:tcPr>
            <w:tcW w:w="1275" w:type="dxa"/>
            <w:shd w:val="clear" w:color="auto" w:fill="auto"/>
            <w:vAlign w:val="center"/>
          </w:tcPr>
          <w:p w14:paraId="5CD88C1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SC单芯尾纤</w:t>
            </w:r>
          </w:p>
        </w:tc>
        <w:tc>
          <w:tcPr>
            <w:tcW w:w="5387" w:type="dxa"/>
            <w:shd w:val="clear" w:color="auto" w:fill="auto"/>
            <w:vAlign w:val="center"/>
          </w:tcPr>
          <w:p w14:paraId="7A82F038">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SC单模单芯尾纤；依工业标准100%光学测试；低插入损耗，高回波损耗；重复插拔测试：≤0.25dB，每500次插拔</w:t>
            </w:r>
          </w:p>
        </w:tc>
        <w:tc>
          <w:tcPr>
            <w:tcW w:w="708" w:type="dxa"/>
            <w:shd w:val="clear" w:color="auto" w:fill="auto"/>
            <w:noWrap/>
            <w:vAlign w:val="center"/>
          </w:tcPr>
          <w:p w14:paraId="0C46987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176</w:t>
            </w:r>
          </w:p>
        </w:tc>
        <w:tc>
          <w:tcPr>
            <w:tcW w:w="709" w:type="dxa"/>
            <w:shd w:val="clear" w:color="auto" w:fill="auto"/>
            <w:noWrap/>
            <w:vAlign w:val="center"/>
          </w:tcPr>
          <w:p w14:paraId="0B5309E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709" w:type="dxa"/>
            <w:shd w:val="clear" w:color="auto" w:fill="auto"/>
            <w:noWrap/>
            <w:vAlign w:val="center"/>
          </w:tcPr>
          <w:p w14:paraId="0BAEECFC">
            <w:pPr>
              <w:widowControl/>
              <w:jc w:val="center"/>
              <w:rPr>
                <w:rFonts w:hint="eastAsia" w:ascii="宋体" w:hAnsi="宋体" w:eastAsia="宋体" w:cs="Times New Roman"/>
                <w:kern w:val="0"/>
                <w:sz w:val="24"/>
                <w:szCs w:val="24"/>
              </w:rPr>
            </w:pPr>
          </w:p>
        </w:tc>
      </w:tr>
      <w:tr w14:paraId="4600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27" w:type="dxa"/>
            <w:shd w:val="clear" w:color="auto" w:fill="auto"/>
            <w:noWrap/>
            <w:vAlign w:val="center"/>
          </w:tcPr>
          <w:p w14:paraId="5F2FF86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16</w:t>
            </w:r>
          </w:p>
        </w:tc>
        <w:tc>
          <w:tcPr>
            <w:tcW w:w="1275" w:type="dxa"/>
            <w:shd w:val="clear" w:color="auto" w:fill="auto"/>
            <w:vAlign w:val="center"/>
          </w:tcPr>
          <w:p w14:paraId="4E58B91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SC-SC-60公分-普通-单模光纤跳线</w:t>
            </w:r>
          </w:p>
        </w:tc>
        <w:tc>
          <w:tcPr>
            <w:tcW w:w="5387" w:type="dxa"/>
            <w:shd w:val="clear" w:color="auto" w:fill="auto"/>
            <w:vAlign w:val="center"/>
          </w:tcPr>
          <w:p w14:paraId="3CC294DB">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SC-SC-60公分单模；接头材料：陶瓷套管；重复插拔：≤0.2dB，每500次插拔；插入损耗：SM≤0.3dB，MM≤0.3dB；回波损耗：≥50dB</w:t>
            </w:r>
          </w:p>
        </w:tc>
        <w:tc>
          <w:tcPr>
            <w:tcW w:w="708" w:type="dxa"/>
            <w:shd w:val="clear" w:color="auto" w:fill="auto"/>
            <w:noWrap/>
            <w:vAlign w:val="center"/>
          </w:tcPr>
          <w:p w14:paraId="0FD5710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32</w:t>
            </w:r>
          </w:p>
        </w:tc>
        <w:tc>
          <w:tcPr>
            <w:tcW w:w="709" w:type="dxa"/>
            <w:shd w:val="clear" w:color="auto" w:fill="auto"/>
            <w:noWrap/>
            <w:vAlign w:val="center"/>
          </w:tcPr>
          <w:p w14:paraId="0A5EAAE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709" w:type="dxa"/>
            <w:shd w:val="clear" w:color="auto" w:fill="auto"/>
            <w:noWrap/>
            <w:vAlign w:val="center"/>
          </w:tcPr>
          <w:p w14:paraId="6CCE6B8D">
            <w:pPr>
              <w:widowControl/>
              <w:jc w:val="center"/>
              <w:rPr>
                <w:rFonts w:hint="eastAsia" w:ascii="宋体" w:hAnsi="宋体" w:eastAsia="宋体" w:cs="Times New Roman"/>
                <w:kern w:val="0"/>
                <w:sz w:val="24"/>
                <w:szCs w:val="24"/>
              </w:rPr>
            </w:pPr>
          </w:p>
        </w:tc>
      </w:tr>
      <w:tr w14:paraId="73B7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27" w:type="dxa"/>
            <w:shd w:val="clear" w:color="auto" w:fill="auto"/>
            <w:noWrap/>
            <w:vAlign w:val="center"/>
          </w:tcPr>
          <w:p w14:paraId="2EF8CD3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17</w:t>
            </w:r>
          </w:p>
        </w:tc>
        <w:tc>
          <w:tcPr>
            <w:tcW w:w="1275" w:type="dxa"/>
            <w:shd w:val="clear" w:color="auto" w:fill="auto"/>
            <w:vAlign w:val="center"/>
          </w:tcPr>
          <w:p w14:paraId="19E67E1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SC-SC-1米-可寻线-单模光纤跳线</w:t>
            </w:r>
          </w:p>
        </w:tc>
        <w:tc>
          <w:tcPr>
            <w:tcW w:w="5387" w:type="dxa"/>
            <w:shd w:val="clear" w:color="auto" w:fill="auto"/>
            <w:vAlign w:val="center"/>
          </w:tcPr>
          <w:p w14:paraId="3A812063">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SC-SC-1米单模；接头材料：陶瓷套管；重复插拔：≤0.2dB，每500次插拔；插入损耗：SM≤0.3dB，MM≤0.3dB；回波损耗：≥50dB。</w:t>
            </w:r>
          </w:p>
          <w:p w14:paraId="06C4477E">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线缆结构有原来的基础上增加了导光光纤，内置导光光纤，在两端线身上留有光源输入口，无需拔插可通过任意的可见光照明装置快速定位线缆两端的关系（提供对应寻线功能的CNAS认证的第三方机构的检测报告）</w:t>
            </w:r>
          </w:p>
        </w:tc>
        <w:tc>
          <w:tcPr>
            <w:tcW w:w="708" w:type="dxa"/>
            <w:shd w:val="clear" w:color="auto" w:fill="auto"/>
            <w:noWrap/>
            <w:vAlign w:val="center"/>
          </w:tcPr>
          <w:p w14:paraId="32F751D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42</w:t>
            </w:r>
          </w:p>
        </w:tc>
        <w:tc>
          <w:tcPr>
            <w:tcW w:w="709" w:type="dxa"/>
            <w:shd w:val="clear" w:color="auto" w:fill="auto"/>
            <w:noWrap/>
            <w:vAlign w:val="center"/>
          </w:tcPr>
          <w:p w14:paraId="550C61C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709" w:type="dxa"/>
            <w:shd w:val="clear" w:color="auto" w:fill="auto"/>
            <w:noWrap/>
            <w:vAlign w:val="center"/>
          </w:tcPr>
          <w:p w14:paraId="570EF41E">
            <w:pPr>
              <w:widowControl/>
              <w:jc w:val="center"/>
              <w:rPr>
                <w:rFonts w:hint="eastAsia" w:ascii="宋体" w:hAnsi="宋体" w:eastAsia="宋体" w:cs="Times New Roman"/>
                <w:kern w:val="0"/>
                <w:sz w:val="24"/>
                <w:szCs w:val="24"/>
              </w:rPr>
            </w:pPr>
          </w:p>
        </w:tc>
      </w:tr>
      <w:tr w14:paraId="4D2A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27" w:type="dxa"/>
            <w:shd w:val="clear" w:color="auto" w:fill="auto"/>
            <w:noWrap/>
            <w:vAlign w:val="center"/>
          </w:tcPr>
          <w:p w14:paraId="73621C19">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18</w:t>
            </w:r>
          </w:p>
        </w:tc>
        <w:tc>
          <w:tcPr>
            <w:tcW w:w="1275" w:type="dxa"/>
            <w:shd w:val="clear" w:color="auto" w:fill="auto"/>
            <w:vAlign w:val="center"/>
          </w:tcPr>
          <w:p w14:paraId="15DCE24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SC-SC-3米-可寻线-单模光纤跳线</w:t>
            </w:r>
          </w:p>
        </w:tc>
        <w:tc>
          <w:tcPr>
            <w:tcW w:w="5387" w:type="dxa"/>
            <w:shd w:val="clear" w:color="auto" w:fill="auto"/>
            <w:vAlign w:val="center"/>
          </w:tcPr>
          <w:p w14:paraId="55E230C9">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SC-SC-3米单模；接头材料：陶瓷套管；重复插拔：≤0.2dB，每500次插拔；插入损耗：SM≤0.3dB，MM≤0.3dB；回波损耗：≥50dB。</w:t>
            </w:r>
          </w:p>
          <w:p w14:paraId="61766B2E">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线缆结构有原来的基础上增加了导光光纤，内置导光光纤，在两端线身上留有光源输入口，无需拔插可通过任意的可见光照明装置快速定位线缆两端的关系（提供对应寻线功能的CNAS认证的第三方机构的检测报告）</w:t>
            </w:r>
          </w:p>
        </w:tc>
        <w:tc>
          <w:tcPr>
            <w:tcW w:w="708" w:type="dxa"/>
            <w:shd w:val="clear" w:color="auto" w:fill="auto"/>
            <w:noWrap/>
            <w:vAlign w:val="center"/>
          </w:tcPr>
          <w:p w14:paraId="16FAAD9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w:t>
            </w:r>
          </w:p>
        </w:tc>
        <w:tc>
          <w:tcPr>
            <w:tcW w:w="709" w:type="dxa"/>
            <w:shd w:val="clear" w:color="auto" w:fill="auto"/>
            <w:noWrap/>
            <w:vAlign w:val="center"/>
          </w:tcPr>
          <w:p w14:paraId="29E2203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709" w:type="dxa"/>
            <w:shd w:val="clear" w:color="auto" w:fill="auto"/>
            <w:noWrap/>
            <w:vAlign w:val="center"/>
          </w:tcPr>
          <w:p w14:paraId="62FADE2E">
            <w:pPr>
              <w:widowControl/>
              <w:jc w:val="center"/>
              <w:rPr>
                <w:rFonts w:hint="eastAsia" w:ascii="宋体" w:hAnsi="宋体" w:eastAsia="宋体" w:cs="Times New Roman"/>
                <w:kern w:val="0"/>
                <w:sz w:val="24"/>
                <w:szCs w:val="24"/>
              </w:rPr>
            </w:pPr>
          </w:p>
        </w:tc>
      </w:tr>
      <w:tr w14:paraId="1CCD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27" w:type="dxa"/>
            <w:shd w:val="clear" w:color="auto" w:fill="auto"/>
            <w:noWrap/>
            <w:vAlign w:val="center"/>
          </w:tcPr>
          <w:p w14:paraId="72E6B2C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19</w:t>
            </w:r>
          </w:p>
        </w:tc>
        <w:tc>
          <w:tcPr>
            <w:tcW w:w="1275" w:type="dxa"/>
            <w:shd w:val="clear" w:color="auto" w:fill="auto"/>
            <w:vAlign w:val="center"/>
          </w:tcPr>
          <w:p w14:paraId="17654A8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SC-SC-10米-可寻线-单模光纤跳线</w:t>
            </w:r>
          </w:p>
        </w:tc>
        <w:tc>
          <w:tcPr>
            <w:tcW w:w="5387" w:type="dxa"/>
            <w:shd w:val="clear" w:color="auto" w:fill="auto"/>
            <w:vAlign w:val="center"/>
          </w:tcPr>
          <w:p w14:paraId="23E89C12">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SC-SC-10米单模；接头材料：陶瓷套管；重复插拔：≤0.2dB，每500次插拔；插入损耗：SM≤0.3dB，MM≤0.3dB；回波损耗：≥50dB。</w:t>
            </w:r>
          </w:p>
          <w:p w14:paraId="2DB82A85">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线缆结构有原来的基础上增加了导光光纤，内置导光光纤，在两端线身上留有光源输入口，无需拔插可通过任意的可见光照明装置快速定位线缆两端的关系（提供对应寻线功能的CNAS认证的第三方机构的检测报告）</w:t>
            </w:r>
          </w:p>
        </w:tc>
        <w:tc>
          <w:tcPr>
            <w:tcW w:w="708" w:type="dxa"/>
            <w:shd w:val="clear" w:color="auto" w:fill="auto"/>
            <w:noWrap/>
            <w:vAlign w:val="center"/>
          </w:tcPr>
          <w:p w14:paraId="0D43EAD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w:t>
            </w:r>
          </w:p>
        </w:tc>
        <w:tc>
          <w:tcPr>
            <w:tcW w:w="709" w:type="dxa"/>
            <w:shd w:val="clear" w:color="auto" w:fill="auto"/>
            <w:noWrap/>
            <w:vAlign w:val="center"/>
          </w:tcPr>
          <w:p w14:paraId="0194E844">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709" w:type="dxa"/>
            <w:shd w:val="clear" w:color="auto" w:fill="auto"/>
            <w:noWrap/>
            <w:vAlign w:val="center"/>
          </w:tcPr>
          <w:p w14:paraId="489F27FC">
            <w:pPr>
              <w:widowControl/>
              <w:jc w:val="center"/>
              <w:rPr>
                <w:rFonts w:hint="eastAsia" w:ascii="宋体" w:hAnsi="宋体" w:eastAsia="宋体" w:cs="Times New Roman"/>
                <w:kern w:val="0"/>
                <w:sz w:val="24"/>
                <w:szCs w:val="24"/>
              </w:rPr>
            </w:pPr>
          </w:p>
        </w:tc>
      </w:tr>
      <w:tr w14:paraId="107E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27" w:type="dxa"/>
            <w:shd w:val="clear" w:color="auto" w:fill="auto"/>
            <w:noWrap/>
            <w:vAlign w:val="center"/>
          </w:tcPr>
          <w:p w14:paraId="1B57149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20</w:t>
            </w:r>
          </w:p>
        </w:tc>
        <w:tc>
          <w:tcPr>
            <w:tcW w:w="1275" w:type="dxa"/>
            <w:shd w:val="clear" w:color="auto" w:fill="auto"/>
            <w:vAlign w:val="center"/>
          </w:tcPr>
          <w:p w14:paraId="76BD495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2×4插片式分光器</w:t>
            </w:r>
          </w:p>
        </w:tc>
        <w:tc>
          <w:tcPr>
            <w:tcW w:w="5387" w:type="dxa"/>
            <w:shd w:val="clear" w:color="auto" w:fill="auto"/>
            <w:vAlign w:val="center"/>
          </w:tcPr>
          <w:p w14:paraId="56B40EDC">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光纤类型：单模G.652/G.657；接口类型：SC/UPC；插入损耗：≤8.3dB；损耗均匀度：≤1.2dB；偏振相关损耗：≤0.3dB；回波损耗：≥50dB；波长相关损耗：≤0.5dB；损耗对光波长不敏感，可以满足不同波长的传输需要；分光均匀，可以将信号均匀分配给用户；结构紧凑，体积小，可以直接安装在现有的各种交接箱内，不需留出很大的安装空间</w:t>
            </w:r>
          </w:p>
        </w:tc>
        <w:tc>
          <w:tcPr>
            <w:tcW w:w="708" w:type="dxa"/>
            <w:shd w:val="clear" w:color="auto" w:fill="auto"/>
            <w:noWrap/>
            <w:vAlign w:val="center"/>
          </w:tcPr>
          <w:p w14:paraId="54AAEFDA">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w:t>
            </w:r>
          </w:p>
        </w:tc>
        <w:tc>
          <w:tcPr>
            <w:tcW w:w="709" w:type="dxa"/>
            <w:shd w:val="clear" w:color="auto" w:fill="auto"/>
            <w:noWrap/>
            <w:vAlign w:val="center"/>
          </w:tcPr>
          <w:p w14:paraId="3CC0678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709" w:type="dxa"/>
            <w:shd w:val="clear" w:color="auto" w:fill="auto"/>
            <w:noWrap/>
            <w:vAlign w:val="center"/>
          </w:tcPr>
          <w:p w14:paraId="3C51282C">
            <w:pPr>
              <w:widowControl/>
              <w:jc w:val="center"/>
              <w:rPr>
                <w:rFonts w:hint="eastAsia" w:ascii="宋体" w:hAnsi="宋体" w:eastAsia="宋体" w:cs="Times New Roman"/>
                <w:kern w:val="0"/>
                <w:sz w:val="24"/>
                <w:szCs w:val="24"/>
              </w:rPr>
            </w:pPr>
          </w:p>
        </w:tc>
      </w:tr>
      <w:tr w14:paraId="686D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27" w:type="dxa"/>
            <w:shd w:val="clear" w:color="auto" w:fill="auto"/>
            <w:noWrap/>
            <w:vAlign w:val="center"/>
          </w:tcPr>
          <w:p w14:paraId="70D5D5B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21</w:t>
            </w:r>
          </w:p>
        </w:tc>
        <w:tc>
          <w:tcPr>
            <w:tcW w:w="1275" w:type="dxa"/>
            <w:shd w:val="clear" w:color="auto" w:fill="auto"/>
            <w:vAlign w:val="center"/>
          </w:tcPr>
          <w:p w14:paraId="5675F26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2×8插片式分光器</w:t>
            </w:r>
          </w:p>
        </w:tc>
        <w:tc>
          <w:tcPr>
            <w:tcW w:w="5387" w:type="dxa"/>
            <w:shd w:val="clear" w:color="auto" w:fill="auto"/>
            <w:vAlign w:val="center"/>
          </w:tcPr>
          <w:p w14:paraId="05E22B20">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光纤类型：单模G.652/G.657；接口类型：SC/UPC；插入损耗：≤11.2dB；损耗均匀度：≤1.5dB；偏振相关损耗：≤0.3dB；回波损耗：≥50dB；波长相关损耗：≤0.5dB；损耗对光波长不敏感，可以满足不同波长的传输需要；分光均匀，可以将信号均匀分配给用户；结构紧凑，体积小，可以直接安装在现有的各种交接箱内，不需留出很大的安装空间</w:t>
            </w:r>
          </w:p>
        </w:tc>
        <w:tc>
          <w:tcPr>
            <w:tcW w:w="708" w:type="dxa"/>
            <w:shd w:val="clear" w:color="auto" w:fill="auto"/>
            <w:noWrap/>
            <w:vAlign w:val="center"/>
          </w:tcPr>
          <w:p w14:paraId="509D10D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w:t>
            </w:r>
          </w:p>
        </w:tc>
        <w:tc>
          <w:tcPr>
            <w:tcW w:w="709" w:type="dxa"/>
            <w:shd w:val="clear" w:color="auto" w:fill="auto"/>
            <w:noWrap/>
            <w:vAlign w:val="center"/>
          </w:tcPr>
          <w:p w14:paraId="349BD40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709" w:type="dxa"/>
            <w:shd w:val="clear" w:color="auto" w:fill="auto"/>
            <w:noWrap/>
            <w:vAlign w:val="center"/>
          </w:tcPr>
          <w:p w14:paraId="59212AA4">
            <w:pPr>
              <w:widowControl/>
              <w:jc w:val="center"/>
              <w:rPr>
                <w:rFonts w:hint="eastAsia" w:ascii="宋体" w:hAnsi="宋体" w:eastAsia="宋体" w:cs="Times New Roman"/>
                <w:kern w:val="0"/>
                <w:sz w:val="24"/>
                <w:szCs w:val="24"/>
              </w:rPr>
            </w:pPr>
          </w:p>
        </w:tc>
      </w:tr>
      <w:tr w14:paraId="59DD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shd w:val="clear" w:color="auto" w:fill="auto"/>
            <w:noWrap/>
            <w:vAlign w:val="center"/>
          </w:tcPr>
          <w:p w14:paraId="52C16F9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22</w:t>
            </w:r>
          </w:p>
        </w:tc>
        <w:tc>
          <w:tcPr>
            <w:tcW w:w="1275" w:type="dxa"/>
            <w:shd w:val="clear" w:color="auto" w:fill="auto"/>
            <w:vAlign w:val="center"/>
          </w:tcPr>
          <w:p w14:paraId="61E3A8A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明盒</w:t>
            </w:r>
          </w:p>
        </w:tc>
        <w:tc>
          <w:tcPr>
            <w:tcW w:w="5387" w:type="dxa"/>
            <w:shd w:val="clear" w:color="auto" w:fill="auto"/>
            <w:vAlign w:val="center"/>
          </w:tcPr>
          <w:p w14:paraId="75C93D71">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86型明盒</w:t>
            </w:r>
          </w:p>
        </w:tc>
        <w:tc>
          <w:tcPr>
            <w:tcW w:w="708" w:type="dxa"/>
            <w:shd w:val="clear" w:color="auto" w:fill="auto"/>
            <w:noWrap/>
            <w:vAlign w:val="center"/>
          </w:tcPr>
          <w:p w14:paraId="44471C2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143</w:t>
            </w:r>
          </w:p>
        </w:tc>
        <w:tc>
          <w:tcPr>
            <w:tcW w:w="709" w:type="dxa"/>
            <w:shd w:val="clear" w:color="auto" w:fill="auto"/>
            <w:noWrap/>
            <w:vAlign w:val="center"/>
          </w:tcPr>
          <w:p w14:paraId="770FC0A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709" w:type="dxa"/>
            <w:shd w:val="clear" w:color="auto" w:fill="auto"/>
            <w:noWrap/>
            <w:vAlign w:val="center"/>
          </w:tcPr>
          <w:p w14:paraId="325DF718">
            <w:pPr>
              <w:widowControl/>
              <w:jc w:val="center"/>
              <w:rPr>
                <w:rFonts w:hint="eastAsia" w:ascii="宋体" w:hAnsi="宋体" w:eastAsia="宋体" w:cs="Times New Roman"/>
                <w:kern w:val="0"/>
                <w:sz w:val="24"/>
                <w:szCs w:val="24"/>
              </w:rPr>
            </w:pPr>
          </w:p>
        </w:tc>
      </w:tr>
      <w:tr w14:paraId="67D3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shd w:val="clear" w:color="auto" w:fill="auto"/>
            <w:noWrap/>
            <w:vAlign w:val="center"/>
          </w:tcPr>
          <w:p w14:paraId="15BF11E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23</w:t>
            </w:r>
          </w:p>
        </w:tc>
        <w:tc>
          <w:tcPr>
            <w:tcW w:w="1275" w:type="dxa"/>
            <w:shd w:val="clear" w:color="auto" w:fill="auto"/>
            <w:vAlign w:val="center"/>
          </w:tcPr>
          <w:p w14:paraId="5E1E677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PVC管</w:t>
            </w:r>
          </w:p>
        </w:tc>
        <w:tc>
          <w:tcPr>
            <w:tcW w:w="5387" w:type="dxa"/>
            <w:shd w:val="clear" w:color="auto" w:fill="auto"/>
            <w:vAlign w:val="center"/>
          </w:tcPr>
          <w:p w14:paraId="4F7421F0">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直径25PVC管</w:t>
            </w:r>
          </w:p>
        </w:tc>
        <w:tc>
          <w:tcPr>
            <w:tcW w:w="708" w:type="dxa"/>
            <w:shd w:val="clear" w:color="auto" w:fill="auto"/>
            <w:noWrap/>
            <w:vAlign w:val="center"/>
          </w:tcPr>
          <w:p w14:paraId="3546C8A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700</w:t>
            </w:r>
          </w:p>
        </w:tc>
        <w:tc>
          <w:tcPr>
            <w:tcW w:w="709" w:type="dxa"/>
            <w:shd w:val="clear" w:color="auto" w:fill="auto"/>
            <w:noWrap/>
            <w:vAlign w:val="center"/>
          </w:tcPr>
          <w:p w14:paraId="778BBD8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米</w:t>
            </w:r>
          </w:p>
        </w:tc>
        <w:tc>
          <w:tcPr>
            <w:tcW w:w="709" w:type="dxa"/>
            <w:shd w:val="clear" w:color="auto" w:fill="auto"/>
            <w:noWrap/>
            <w:vAlign w:val="center"/>
          </w:tcPr>
          <w:p w14:paraId="46F2B33E">
            <w:pPr>
              <w:widowControl/>
              <w:jc w:val="center"/>
              <w:rPr>
                <w:rFonts w:hint="eastAsia" w:ascii="宋体" w:hAnsi="宋体" w:eastAsia="宋体" w:cs="Times New Roman"/>
                <w:kern w:val="0"/>
                <w:sz w:val="24"/>
                <w:szCs w:val="24"/>
              </w:rPr>
            </w:pPr>
          </w:p>
        </w:tc>
      </w:tr>
      <w:tr w14:paraId="0605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shd w:val="clear" w:color="auto" w:fill="auto"/>
            <w:noWrap/>
            <w:vAlign w:val="center"/>
          </w:tcPr>
          <w:p w14:paraId="2B2DA0B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24</w:t>
            </w:r>
          </w:p>
        </w:tc>
        <w:tc>
          <w:tcPr>
            <w:tcW w:w="1275" w:type="dxa"/>
            <w:shd w:val="clear" w:color="auto" w:fill="auto"/>
            <w:vAlign w:val="center"/>
          </w:tcPr>
          <w:p w14:paraId="107B6E1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电源线</w:t>
            </w:r>
          </w:p>
        </w:tc>
        <w:tc>
          <w:tcPr>
            <w:tcW w:w="5387" w:type="dxa"/>
            <w:shd w:val="clear" w:color="auto" w:fill="auto"/>
            <w:vAlign w:val="center"/>
          </w:tcPr>
          <w:p w14:paraId="6A3C1C02">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RVV3*1.0</w:t>
            </w:r>
          </w:p>
        </w:tc>
        <w:tc>
          <w:tcPr>
            <w:tcW w:w="708" w:type="dxa"/>
            <w:shd w:val="clear" w:color="auto" w:fill="auto"/>
            <w:noWrap/>
            <w:vAlign w:val="center"/>
          </w:tcPr>
          <w:p w14:paraId="1F0B71E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1030</w:t>
            </w:r>
          </w:p>
        </w:tc>
        <w:tc>
          <w:tcPr>
            <w:tcW w:w="709" w:type="dxa"/>
            <w:shd w:val="clear" w:color="auto" w:fill="auto"/>
            <w:noWrap/>
            <w:vAlign w:val="center"/>
          </w:tcPr>
          <w:p w14:paraId="151CE04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米</w:t>
            </w:r>
          </w:p>
        </w:tc>
        <w:tc>
          <w:tcPr>
            <w:tcW w:w="709" w:type="dxa"/>
            <w:shd w:val="clear" w:color="auto" w:fill="auto"/>
            <w:noWrap/>
            <w:vAlign w:val="center"/>
          </w:tcPr>
          <w:p w14:paraId="0FD55406">
            <w:pPr>
              <w:widowControl/>
              <w:jc w:val="center"/>
              <w:rPr>
                <w:rFonts w:hint="eastAsia" w:ascii="宋体" w:hAnsi="宋体" w:eastAsia="宋体" w:cs="Times New Roman"/>
                <w:kern w:val="0"/>
                <w:sz w:val="24"/>
                <w:szCs w:val="24"/>
              </w:rPr>
            </w:pPr>
          </w:p>
        </w:tc>
      </w:tr>
      <w:tr w14:paraId="0699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27" w:type="dxa"/>
            <w:shd w:val="clear" w:color="auto" w:fill="auto"/>
            <w:noWrap/>
            <w:vAlign w:val="center"/>
          </w:tcPr>
          <w:p w14:paraId="0C0AB65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25</w:t>
            </w:r>
          </w:p>
        </w:tc>
        <w:tc>
          <w:tcPr>
            <w:tcW w:w="1275" w:type="dxa"/>
            <w:shd w:val="clear" w:color="auto" w:fill="auto"/>
            <w:vAlign w:val="center"/>
          </w:tcPr>
          <w:p w14:paraId="1201202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施工费</w:t>
            </w:r>
          </w:p>
        </w:tc>
        <w:tc>
          <w:tcPr>
            <w:tcW w:w="5387" w:type="dxa"/>
            <w:shd w:val="clear" w:color="auto" w:fill="auto"/>
            <w:vAlign w:val="center"/>
          </w:tcPr>
          <w:p w14:paraId="503AA8F8">
            <w:pPr>
              <w:widowControl/>
              <w:jc w:val="left"/>
              <w:rPr>
                <w:rFonts w:hint="eastAsia" w:ascii="宋体" w:hAnsi="宋体" w:eastAsia="宋体" w:cs="Times New Roman"/>
                <w:kern w:val="0"/>
                <w:sz w:val="24"/>
                <w:szCs w:val="24"/>
              </w:rPr>
            </w:pPr>
            <w:r>
              <w:rPr>
                <w:rFonts w:hint="eastAsia" w:ascii="宋体" w:hAnsi="宋体" w:eastAsia="宋体" w:cs="Times New Roman"/>
                <w:kern w:val="0"/>
                <w:sz w:val="24"/>
                <w:szCs w:val="24"/>
              </w:rPr>
              <w:t>包括2芯室内软铠光缆施工，室外光缆施工，内其他应用点位布线施工，AP设备安装，多媒体箱安装，壁挂箱安装，房间内强电箱至多媒体箱的强电施工，多媒体箱暗埋所需要的打洞开槽，开沟室外光纤铺设所需要的挖槽及恢复，所有涉及的光纤熔接施工及技术服务费用等</w:t>
            </w:r>
          </w:p>
        </w:tc>
        <w:tc>
          <w:tcPr>
            <w:tcW w:w="708" w:type="dxa"/>
            <w:shd w:val="clear" w:color="auto" w:fill="auto"/>
            <w:noWrap/>
            <w:vAlign w:val="center"/>
          </w:tcPr>
          <w:p w14:paraId="75710C2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709" w:type="dxa"/>
            <w:shd w:val="clear" w:color="auto" w:fill="auto"/>
            <w:noWrap/>
            <w:vAlign w:val="center"/>
          </w:tcPr>
          <w:p w14:paraId="0CEC411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项</w:t>
            </w:r>
          </w:p>
        </w:tc>
        <w:tc>
          <w:tcPr>
            <w:tcW w:w="709" w:type="dxa"/>
            <w:shd w:val="clear" w:color="auto" w:fill="auto"/>
            <w:noWrap/>
            <w:vAlign w:val="center"/>
          </w:tcPr>
          <w:p w14:paraId="5E8A9C46">
            <w:pPr>
              <w:widowControl/>
              <w:jc w:val="center"/>
              <w:rPr>
                <w:rFonts w:hint="eastAsia" w:ascii="宋体" w:hAnsi="宋体" w:eastAsia="宋体" w:cs="Times New Roman"/>
                <w:kern w:val="0"/>
                <w:sz w:val="24"/>
                <w:szCs w:val="24"/>
              </w:rPr>
            </w:pPr>
          </w:p>
        </w:tc>
      </w:tr>
    </w:tbl>
    <w:p w14:paraId="64BE803C">
      <w:pPr>
        <w:spacing w:line="360" w:lineRule="auto"/>
        <w:rPr>
          <w:rFonts w:hint="eastAsia" w:ascii="宋体" w:hAnsi="宋体" w:eastAsia="宋体"/>
          <w:sz w:val="24"/>
          <w:szCs w:val="28"/>
        </w:rPr>
      </w:pPr>
    </w:p>
    <w:p w14:paraId="7A808718">
      <w:pPr>
        <w:spacing w:line="360" w:lineRule="auto"/>
        <w:rPr>
          <w:rFonts w:hint="eastAsia" w:ascii="宋体" w:hAnsi="宋体" w:eastAsia="宋体"/>
          <w:b/>
          <w:bCs/>
          <w:sz w:val="24"/>
          <w:szCs w:val="28"/>
        </w:rPr>
      </w:pPr>
      <w:r>
        <w:rPr>
          <w:rFonts w:hint="eastAsia" w:ascii="宋体" w:hAnsi="宋体" w:eastAsia="宋体"/>
          <w:b/>
          <w:bCs/>
          <w:sz w:val="24"/>
          <w:szCs w:val="28"/>
        </w:rPr>
        <w:t>四、安装及其他要求</w:t>
      </w:r>
    </w:p>
    <w:p w14:paraId="6191D3EC">
      <w:pPr>
        <w:spacing w:line="360" w:lineRule="auto"/>
        <w:ind w:firstLine="480"/>
        <w:rPr>
          <w:rFonts w:hint="eastAsia" w:ascii="宋体" w:hAnsi="宋体" w:eastAsia="宋体"/>
          <w:sz w:val="24"/>
          <w:szCs w:val="28"/>
        </w:rPr>
      </w:pPr>
      <w:r>
        <w:rPr>
          <w:rFonts w:hint="eastAsia" w:ascii="宋体" w:hAnsi="宋体" w:eastAsia="宋体"/>
          <w:sz w:val="24"/>
          <w:szCs w:val="28"/>
        </w:rPr>
        <w:t>（一）安装要求</w:t>
      </w:r>
    </w:p>
    <w:p w14:paraId="327C0038">
      <w:pPr>
        <w:spacing w:line="360" w:lineRule="auto"/>
        <w:ind w:firstLine="480"/>
        <w:rPr>
          <w:rFonts w:hint="eastAsia" w:ascii="宋体" w:hAnsi="宋体" w:eastAsia="宋体"/>
          <w:sz w:val="24"/>
          <w:szCs w:val="28"/>
        </w:rPr>
      </w:pPr>
      <w:r>
        <w:rPr>
          <w:rFonts w:hint="eastAsia" w:ascii="宋体" w:hAnsi="宋体" w:eastAsia="宋体"/>
          <w:sz w:val="24"/>
          <w:szCs w:val="28"/>
        </w:rPr>
        <w:t>供应商须提供专业的设备安装服务，包括设备的通信组网、调试及开通。本项目在交付过程中，要求成交供应商提供所有无线客户接入端点位深化设计并出具点位图纸，提交用户方认可后方可进场，具体要求如下：</w:t>
      </w:r>
    </w:p>
    <w:p w14:paraId="5A212501">
      <w:pPr>
        <w:spacing w:line="360" w:lineRule="auto"/>
        <w:ind w:firstLine="480"/>
        <w:rPr>
          <w:rFonts w:hint="eastAsia" w:ascii="宋体" w:hAnsi="宋体" w:eastAsia="宋体"/>
          <w:sz w:val="24"/>
          <w:szCs w:val="28"/>
        </w:rPr>
      </w:pPr>
      <w:r>
        <w:rPr>
          <w:rFonts w:hint="eastAsia" w:ascii="宋体" w:hAnsi="宋体" w:eastAsia="宋体"/>
          <w:sz w:val="24"/>
          <w:szCs w:val="28"/>
        </w:rPr>
        <w:t>1、本次项目采用POL（无源光局域网）的无线承载网技术；网络整体采用二层扁平化架构，核心层采用现网OLT设备，光纤汇聚层采用光纤壁挂箱。</w:t>
      </w:r>
    </w:p>
    <w:p w14:paraId="44958E33">
      <w:pPr>
        <w:spacing w:line="360" w:lineRule="auto"/>
        <w:ind w:firstLine="480"/>
        <w:rPr>
          <w:rFonts w:hint="eastAsia" w:ascii="宋体" w:hAnsi="宋体" w:eastAsia="宋体"/>
          <w:sz w:val="24"/>
          <w:szCs w:val="28"/>
        </w:rPr>
      </w:pPr>
      <w:r>
        <w:rPr>
          <w:rFonts w:hint="eastAsia" w:ascii="宋体" w:hAnsi="宋体" w:eastAsia="宋体"/>
          <w:sz w:val="24"/>
          <w:szCs w:val="28"/>
        </w:rPr>
        <w:t>2、承载网的ONU除教室以外的公共办公场景采用FTTB（光纤入过道）的方式进行部署，具体要求如下：</w:t>
      </w:r>
    </w:p>
    <w:p w14:paraId="387D1784">
      <w:pPr>
        <w:spacing w:line="360" w:lineRule="auto"/>
        <w:ind w:firstLine="480"/>
        <w:rPr>
          <w:rFonts w:hint="eastAsia" w:ascii="宋体" w:hAnsi="宋体" w:eastAsia="宋体"/>
          <w:sz w:val="24"/>
          <w:szCs w:val="28"/>
        </w:rPr>
      </w:pPr>
      <w:r>
        <w:rPr>
          <w:rFonts w:hint="eastAsia" w:ascii="宋体" w:hAnsi="宋体" w:eastAsia="宋体"/>
          <w:sz w:val="24"/>
          <w:szCs w:val="28"/>
        </w:rPr>
        <w:t>（1）采用</w:t>
      </w:r>
      <w:r>
        <w:rPr>
          <w:rFonts w:ascii="宋体" w:hAnsi="宋体" w:eastAsia="宋体"/>
          <w:sz w:val="24"/>
          <w:szCs w:val="28"/>
        </w:rPr>
        <w:t>8</w:t>
      </w:r>
      <w:r>
        <w:rPr>
          <w:rFonts w:hint="eastAsia" w:ascii="宋体" w:hAnsi="宋体" w:eastAsia="宋体"/>
          <w:sz w:val="24"/>
          <w:szCs w:val="28"/>
        </w:rPr>
        <w:t>口ONU设备作为承载网设备。</w:t>
      </w:r>
    </w:p>
    <w:p w14:paraId="31FBE664">
      <w:pPr>
        <w:spacing w:line="360" w:lineRule="auto"/>
        <w:ind w:firstLine="480"/>
        <w:rPr>
          <w:rFonts w:hint="eastAsia" w:ascii="宋体" w:hAnsi="宋体" w:eastAsia="宋体"/>
          <w:sz w:val="24"/>
          <w:szCs w:val="28"/>
        </w:rPr>
      </w:pPr>
      <w:r>
        <w:rPr>
          <w:rFonts w:hint="eastAsia" w:ascii="宋体" w:hAnsi="宋体" w:eastAsia="宋体"/>
          <w:sz w:val="24"/>
          <w:szCs w:val="28"/>
        </w:rPr>
        <w:t>（2）ONU设备安装于多媒体箱内，箱体部署在过道内。</w:t>
      </w:r>
    </w:p>
    <w:p w14:paraId="27C25017">
      <w:pPr>
        <w:spacing w:line="360" w:lineRule="auto"/>
        <w:ind w:firstLine="480"/>
        <w:rPr>
          <w:rFonts w:hint="eastAsia" w:ascii="宋体" w:hAnsi="宋体" w:eastAsia="宋体"/>
          <w:sz w:val="24"/>
          <w:szCs w:val="28"/>
        </w:rPr>
      </w:pPr>
      <w:r>
        <w:rPr>
          <w:rFonts w:hint="eastAsia" w:ascii="宋体" w:hAnsi="宋体" w:eastAsia="宋体"/>
          <w:sz w:val="24"/>
          <w:szCs w:val="28"/>
        </w:rPr>
        <w:t>（3）每多媒体箱箱内，部署2芯铠装软光纤，为设备提供上联接入，光纤汇聚至楼宇现有光纤汇聚箱内。</w:t>
      </w:r>
    </w:p>
    <w:p w14:paraId="648739F3">
      <w:pPr>
        <w:spacing w:line="360" w:lineRule="auto"/>
        <w:ind w:firstLine="480"/>
        <w:rPr>
          <w:rFonts w:hint="eastAsia" w:ascii="宋体" w:hAnsi="宋体" w:eastAsia="宋体"/>
          <w:sz w:val="24"/>
          <w:szCs w:val="28"/>
        </w:rPr>
      </w:pPr>
      <w:r>
        <w:rPr>
          <w:rFonts w:hint="eastAsia" w:ascii="宋体" w:hAnsi="宋体" w:eastAsia="宋体"/>
          <w:sz w:val="24"/>
          <w:szCs w:val="28"/>
        </w:rPr>
        <w:t>（4）每多媒体箱中布放一个电源，电源线缆汇聚到强电间内，用单独的空开控制整栋楼宇多媒体箱。</w:t>
      </w:r>
    </w:p>
    <w:p w14:paraId="32C716F0">
      <w:pPr>
        <w:spacing w:line="360" w:lineRule="auto"/>
        <w:ind w:firstLine="480"/>
        <w:rPr>
          <w:rFonts w:hint="eastAsia" w:ascii="宋体" w:hAnsi="宋体" w:eastAsia="宋体"/>
          <w:sz w:val="24"/>
          <w:szCs w:val="28"/>
        </w:rPr>
      </w:pPr>
      <w:r>
        <w:rPr>
          <w:rFonts w:ascii="宋体" w:hAnsi="宋体" w:eastAsia="宋体"/>
          <w:sz w:val="24"/>
          <w:szCs w:val="28"/>
        </w:rPr>
        <w:t>3</w:t>
      </w:r>
      <w:r>
        <w:rPr>
          <w:rFonts w:hint="eastAsia" w:ascii="宋体" w:hAnsi="宋体" w:eastAsia="宋体"/>
          <w:sz w:val="24"/>
          <w:szCs w:val="28"/>
        </w:rPr>
        <w:t>、承载网的ONU教室场景采用FTTH（光纤入户）的方式进行部署，具体要求如下：</w:t>
      </w:r>
    </w:p>
    <w:p w14:paraId="1AC7D21A">
      <w:pPr>
        <w:spacing w:line="360" w:lineRule="auto"/>
        <w:ind w:firstLine="480"/>
        <w:rPr>
          <w:rFonts w:hint="eastAsia" w:ascii="宋体" w:hAnsi="宋体" w:eastAsia="宋体"/>
          <w:sz w:val="24"/>
          <w:szCs w:val="28"/>
        </w:rPr>
      </w:pPr>
      <w:r>
        <w:rPr>
          <w:rFonts w:hint="eastAsia" w:ascii="宋体" w:hAnsi="宋体" w:eastAsia="宋体"/>
          <w:sz w:val="24"/>
          <w:szCs w:val="28"/>
        </w:rPr>
        <w:t>（1）采用</w:t>
      </w:r>
      <w:r>
        <w:rPr>
          <w:rFonts w:ascii="宋体" w:hAnsi="宋体" w:eastAsia="宋体"/>
          <w:sz w:val="24"/>
          <w:szCs w:val="28"/>
        </w:rPr>
        <w:t>8</w:t>
      </w:r>
      <w:r>
        <w:rPr>
          <w:rFonts w:hint="eastAsia" w:ascii="宋体" w:hAnsi="宋体" w:eastAsia="宋体"/>
          <w:sz w:val="24"/>
          <w:szCs w:val="28"/>
        </w:rPr>
        <w:t>口ONU设备作为承载网设备。</w:t>
      </w:r>
    </w:p>
    <w:p w14:paraId="7ED3EBE9">
      <w:pPr>
        <w:spacing w:line="360" w:lineRule="auto"/>
        <w:ind w:firstLine="480"/>
        <w:rPr>
          <w:rFonts w:hint="eastAsia" w:ascii="宋体" w:hAnsi="宋体" w:eastAsia="宋体"/>
          <w:sz w:val="24"/>
          <w:szCs w:val="28"/>
        </w:rPr>
      </w:pPr>
      <w:r>
        <w:rPr>
          <w:rFonts w:hint="eastAsia" w:ascii="宋体" w:hAnsi="宋体" w:eastAsia="宋体"/>
          <w:sz w:val="24"/>
          <w:szCs w:val="28"/>
        </w:rPr>
        <w:t>（2）ONU设备安装于多媒体箱内，箱体部署在教室前墙。</w:t>
      </w:r>
    </w:p>
    <w:p w14:paraId="230E39E4">
      <w:pPr>
        <w:spacing w:line="360" w:lineRule="auto"/>
        <w:ind w:firstLine="480"/>
        <w:rPr>
          <w:rFonts w:hint="eastAsia" w:ascii="宋体" w:hAnsi="宋体" w:eastAsia="宋体"/>
          <w:sz w:val="24"/>
          <w:szCs w:val="28"/>
        </w:rPr>
      </w:pPr>
      <w:r>
        <w:rPr>
          <w:rFonts w:hint="eastAsia" w:ascii="宋体" w:hAnsi="宋体" w:eastAsia="宋体"/>
          <w:sz w:val="24"/>
          <w:szCs w:val="28"/>
        </w:rPr>
        <w:t>（3）每多媒体箱箱内，部署2芯铠装软光纤，为设备提供上联接入，光纤汇聚至楼宇现有光纤汇聚箱内。</w:t>
      </w:r>
    </w:p>
    <w:p w14:paraId="73CF9733">
      <w:pPr>
        <w:spacing w:line="360" w:lineRule="auto"/>
        <w:ind w:firstLine="480"/>
        <w:rPr>
          <w:rFonts w:hint="eastAsia" w:ascii="宋体" w:hAnsi="宋体" w:eastAsia="宋体"/>
          <w:sz w:val="24"/>
          <w:szCs w:val="28"/>
        </w:rPr>
      </w:pPr>
      <w:r>
        <w:rPr>
          <w:rFonts w:hint="eastAsia" w:ascii="宋体" w:hAnsi="宋体" w:eastAsia="宋体"/>
          <w:sz w:val="24"/>
          <w:szCs w:val="28"/>
        </w:rPr>
        <w:t>（4）每多媒体箱中布放一个电源，电源线缆汇聚到强电间内，用单独的空开控制整栋楼宇多媒体箱。</w:t>
      </w:r>
    </w:p>
    <w:p w14:paraId="7DE86248">
      <w:pPr>
        <w:spacing w:line="360" w:lineRule="auto"/>
        <w:ind w:firstLine="480"/>
        <w:rPr>
          <w:rFonts w:hint="eastAsia" w:ascii="宋体" w:hAnsi="宋体" w:eastAsia="宋体"/>
          <w:sz w:val="24"/>
          <w:szCs w:val="28"/>
        </w:rPr>
      </w:pPr>
      <w:r>
        <w:rPr>
          <w:rFonts w:ascii="宋体" w:hAnsi="宋体" w:eastAsia="宋体"/>
          <w:sz w:val="24"/>
          <w:szCs w:val="28"/>
        </w:rPr>
        <w:t>4</w:t>
      </w:r>
      <w:r>
        <w:rPr>
          <w:rFonts w:hint="eastAsia" w:ascii="宋体" w:hAnsi="宋体" w:eastAsia="宋体"/>
          <w:sz w:val="24"/>
          <w:szCs w:val="28"/>
        </w:rPr>
        <w:t>、本次根据环境大小使用面板或高密AP提供无线覆盖，具体要求如下：</w:t>
      </w:r>
    </w:p>
    <w:p w14:paraId="570F4D94">
      <w:pPr>
        <w:spacing w:line="360" w:lineRule="auto"/>
        <w:ind w:firstLine="480"/>
        <w:rPr>
          <w:rFonts w:hint="eastAsia" w:ascii="宋体" w:hAnsi="宋体" w:eastAsia="宋体"/>
          <w:sz w:val="24"/>
          <w:szCs w:val="28"/>
        </w:rPr>
      </w:pPr>
      <w:r>
        <w:rPr>
          <w:rFonts w:hint="eastAsia" w:ascii="宋体" w:hAnsi="宋体" w:eastAsia="宋体"/>
          <w:sz w:val="24"/>
          <w:szCs w:val="28"/>
        </w:rPr>
        <w:t>（1）每房间入户部署无线AP。</w:t>
      </w:r>
    </w:p>
    <w:p w14:paraId="0120167D">
      <w:pPr>
        <w:spacing w:line="360" w:lineRule="auto"/>
        <w:ind w:firstLine="480"/>
        <w:rPr>
          <w:rFonts w:hint="eastAsia" w:ascii="宋体" w:hAnsi="宋体" w:eastAsia="宋体"/>
          <w:sz w:val="24"/>
          <w:szCs w:val="28"/>
        </w:rPr>
      </w:pPr>
      <w:r>
        <w:rPr>
          <w:rFonts w:hint="eastAsia" w:ascii="宋体" w:hAnsi="宋体" w:eastAsia="宋体"/>
          <w:sz w:val="24"/>
          <w:szCs w:val="28"/>
        </w:rPr>
        <w:t>（2）面板型无线AP布放在进门门头位置，高密无线AP（甲供）依据环境部署，充分保证无线信号无遮挡。</w:t>
      </w:r>
    </w:p>
    <w:p w14:paraId="470B6638">
      <w:pPr>
        <w:spacing w:line="360" w:lineRule="auto"/>
        <w:ind w:firstLine="480"/>
        <w:rPr>
          <w:rFonts w:hint="eastAsia" w:ascii="宋体" w:hAnsi="宋体" w:eastAsia="宋体"/>
          <w:sz w:val="24"/>
          <w:szCs w:val="28"/>
        </w:rPr>
      </w:pPr>
      <w:r>
        <w:rPr>
          <w:rFonts w:hint="eastAsia" w:ascii="宋体" w:hAnsi="宋体" w:eastAsia="宋体"/>
          <w:sz w:val="24"/>
          <w:szCs w:val="28"/>
        </w:rPr>
        <w:t>（3）房间内5G高速率信号覆盖，走廊通过房间内的AP实现2.4G信号覆盖，提高用户使用体验。</w:t>
      </w:r>
    </w:p>
    <w:p w14:paraId="1B5D3DA7">
      <w:pPr>
        <w:spacing w:line="360" w:lineRule="auto"/>
        <w:ind w:firstLine="480"/>
        <w:rPr>
          <w:rFonts w:hint="eastAsia" w:ascii="宋体" w:hAnsi="宋体" w:eastAsia="宋体"/>
          <w:sz w:val="24"/>
          <w:szCs w:val="28"/>
        </w:rPr>
      </w:pPr>
      <w:r>
        <w:rPr>
          <w:rFonts w:hint="eastAsia" w:ascii="宋体" w:hAnsi="宋体" w:eastAsia="宋体"/>
          <w:sz w:val="24"/>
          <w:szCs w:val="28"/>
        </w:rPr>
        <w:t>（4）本次建设无线覆盖区域实现无缝漫游。</w:t>
      </w:r>
    </w:p>
    <w:p w14:paraId="6312DD4C">
      <w:pPr>
        <w:spacing w:line="360" w:lineRule="auto"/>
        <w:ind w:firstLine="480"/>
        <w:rPr>
          <w:rFonts w:hint="eastAsia" w:ascii="宋体" w:hAnsi="宋体" w:eastAsia="宋体"/>
          <w:sz w:val="24"/>
          <w:szCs w:val="28"/>
        </w:rPr>
      </w:pPr>
      <w:r>
        <w:rPr>
          <w:rFonts w:ascii="宋体" w:hAnsi="宋体" w:eastAsia="宋体"/>
          <w:sz w:val="24"/>
          <w:szCs w:val="28"/>
        </w:rPr>
        <w:t>5</w:t>
      </w:r>
      <w:r>
        <w:rPr>
          <w:rFonts w:hint="eastAsia" w:ascii="宋体" w:hAnsi="宋体" w:eastAsia="宋体"/>
          <w:sz w:val="24"/>
          <w:szCs w:val="28"/>
        </w:rPr>
        <w:t>、本项目核心机房内光纤跳线等线缆，均使用可寻线类型的跳线，无需单独对线缆张贴纸质标签，但需提供核心机房内本次项目所建设设备的互联拓扑及互联描述文档。</w:t>
      </w:r>
    </w:p>
    <w:p w14:paraId="65C09E33">
      <w:pPr>
        <w:spacing w:line="360" w:lineRule="auto"/>
        <w:ind w:firstLine="480"/>
        <w:rPr>
          <w:rFonts w:hint="eastAsia" w:ascii="宋体" w:hAnsi="宋体" w:eastAsia="宋体"/>
          <w:sz w:val="24"/>
          <w:szCs w:val="28"/>
        </w:rPr>
      </w:pPr>
      <w:r>
        <w:rPr>
          <w:rFonts w:ascii="宋体" w:hAnsi="宋体" w:eastAsia="宋体"/>
          <w:sz w:val="24"/>
          <w:szCs w:val="28"/>
        </w:rPr>
        <w:t>6</w:t>
      </w:r>
      <w:r>
        <w:rPr>
          <w:rFonts w:hint="eastAsia" w:ascii="宋体" w:hAnsi="宋体" w:eastAsia="宋体"/>
          <w:sz w:val="24"/>
          <w:szCs w:val="28"/>
        </w:rPr>
        <w:t>、本项目所需要无线客户接入端、ONU均须使用机打二维码标签进行标注及管理。</w:t>
      </w:r>
    </w:p>
    <w:p w14:paraId="2981F274">
      <w:pPr>
        <w:spacing w:line="360" w:lineRule="auto"/>
        <w:ind w:firstLine="480"/>
        <w:rPr>
          <w:rFonts w:hint="eastAsia" w:ascii="宋体" w:hAnsi="宋体" w:eastAsia="宋体"/>
          <w:sz w:val="24"/>
          <w:szCs w:val="28"/>
        </w:rPr>
      </w:pPr>
      <w:r>
        <w:rPr>
          <w:rFonts w:ascii="宋体" w:hAnsi="宋体" w:eastAsia="宋体"/>
          <w:sz w:val="24"/>
          <w:szCs w:val="28"/>
        </w:rPr>
        <w:t>7</w:t>
      </w:r>
      <w:r>
        <w:rPr>
          <w:rFonts w:hint="eastAsia" w:ascii="宋体" w:hAnsi="宋体" w:eastAsia="宋体"/>
          <w:sz w:val="24"/>
          <w:szCs w:val="28"/>
        </w:rPr>
        <w:t>、成交供应商在设备安装过程中如需进行打孔、切割、进户等有较大噪音及需要采购人现场配合的工作时，必须考虑招标人的实际情况，只能在事先约定的时间进场安装。</w:t>
      </w:r>
    </w:p>
    <w:p w14:paraId="793F2381">
      <w:pPr>
        <w:spacing w:line="360" w:lineRule="auto"/>
        <w:ind w:firstLine="480"/>
        <w:rPr>
          <w:rFonts w:hint="eastAsia" w:ascii="宋体" w:hAnsi="宋体" w:eastAsia="宋体"/>
          <w:sz w:val="24"/>
          <w:szCs w:val="28"/>
        </w:rPr>
      </w:pPr>
      <w:r>
        <w:rPr>
          <w:rFonts w:ascii="宋体" w:hAnsi="宋体" w:eastAsia="宋体"/>
          <w:sz w:val="24"/>
          <w:szCs w:val="28"/>
        </w:rPr>
        <w:t>8</w:t>
      </w:r>
      <w:r>
        <w:rPr>
          <w:rFonts w:hint="eastAsia" w:ascii="宋体" w:hAnsi="宋体" w:eastAsia="宋体"/>
          <w:sz w:val="24"/>
          <w:szCs w:val="28"/>
        </w:rPr>
        <w:t>、本次项目非单一设备采购，本次项目涉及的用户上网业务对接，因此本次项目实施中供应商要负责与学校现网核心交换机、BRAS、无线控制器等设备的对接调试、测试开通。</w:t>
      </w:r>
    </w:p>
    <w:p w14:paraId="06420421">
      <w:pPr>
        <w:spacing w:line="360" w:lineRule="auto"/>
        <w:ind w:firstLine="480"/>
        <w:rPr>
          <w:rFonts w:hint="eastAsia" w:ascii="宋体" w:hAnsi="宋体" w:eastAsia="宋体"/>
          <w:sz w:val="24"/>
          <w:szCs w:val="28"/>
        </w:rPr>
      </w:pPr>
      <w:r>
        <w:rPr>
          <w:rFonts w:hint="eastAsia" w:ascii="宋体" w:hAnsi="宋体" w:eastAsia="宋体"/>
          <w:sz w:val="24"/>
          <w:szCs w:val="28"/>
        </w:rPr>
        <w:t>（二）其他要求</w:t>
      </w:r>
    </w:p>
    <w:p w14:paraId="2DA507A2">
      <w:pPr>
        <w:spacing w:line="360" w:lineRule="auto"/>
        <w:ind w:firstLine="480"/>
        <w:rPr>
          <w:rFonts w:hint="eastAsia" w:ascii="宋体" w:hAnsi="宋体" w:eastAsia="宋体"/>
          <w:sz w:val="24"/>
          <w:szCs w:val="28"/>
        </w:rPr>
      </w:pPr>
      <w:r>
        <w:rPr>
          <w:rFonts w:hint="eastAsia" w:ascii="宋体" w:hAnsi="宋体" w:eastAsia="宋体"/>
          <w:sz w:val="24"/>
          <w:szCs w:val="28"/>
        </w:rPr>
        <w:t>1、采购人有权在项目确定成交供应商7个工作日内按照成交供应商竞争性磋商响应文件提供的技术参数进行现场核验，如核验结果与竞争性磋商响应文件不符，视为在投标过程中弄虚作假，将终止与供应商合同。</w:t>
      </w:r>
    </w:p>
    <w:p w14:paraId="2F229AAF">
      <w:pPr>
        <w:spacing w:line="360" w:lineRule="auto"/>
        <w:ind w:firstLine="480"/>
        <w:rPr>
          <w:rFonts w:hint="eastAsia" w:ascii="宋体" w:hAnsi="宋体" w:eastAsia="宋体"/>
          <w:sz w:val="24"/>
          <w:szCs w:val="28"/>
        </w:rPr>
      </w:pPr>
      <w:r>
        <w:rPr>
          <w:rFonts w:hint="eastAsia" w:ascii="宋体" w:hAnsi="宋体" w:eastAsia="宋体"/>
          <w:sz w:val="24"/>
          <w:szCs w:val="28"/>
        </w:rPr>
        <w:t>2、在项目交付的整个过程中，招标人如发现供应商所投设备实际参数、实际功能、所使用的辅材等与竞争性磋商响应文件不符，视为在竞争性磋商响应过程中弄虚作假，将终止与供应商合同。</w:t>
      </w:r>
    </w:p>
    <w:p w14:paraId="5D94F454">
      <w:pPr>
        <w:spacing w:line="360" w:lineRule="auto"/>
        <w:ind w:firstLine="480"/>
        <w:rPr>
          <w:rFonts w:hint="eastAsia" w:ascii="宋体" w:hAnsi="宋体" w:eastAsia="宋体"/>
          <w:sz w:val="24"/>
          <w:szCs w:val="28"/>
        </w:rPr>
      </w:pPr>
      <w:r>
        <w:rPr>
          <w:rFonts w:hint="eastAsia" w:ascii="宋体" w:hAnsi="宋体" w:eastAsia="宋体"/>
          <w:sz w:val="24"/>
          <w:szCs w:val="28"/>
        </w:rPr>
        <w:t>（三）商务要求</w:t>
      </w:r>
    </w:p>
    <w:p w14:paraId="366E22AB">
      <w:pPr>
        <w:spacing w:line="360" w:lineRule="auto"/>
        <w:ind w:firstLine="480"/>
        <w:rPr>
          <w:rFonts w:hint="eastAsia" w:ascii="宋体" w:hAnsi="宋体" w:eastAsia="宋体"/>
          <w:sz w:val="24"/>
          <w:szCs w:val="28"/>
        </w:rPr>
      </w:pPr>
      <w:r>
        <w:rPr>
          <w:rFonts w:hint="eastAsia" w:ascii="宋体" w:hAnsi="宋体" w:eastAsia="宋体"/>
          <w:sz w:val="24"/>
          <w:szCs w:val="28"/>
        </w:rPr>
        <w:t>1、交货时间：按照采购人的项目进度，分批次施工，每一批次施工工期为2</w:t>
      </w:r>
      <w:r>
        <w:rPr>
          <w:rFonts w:ascii="宋体" w:hAnsi="宋体" w:eastAsia="宋体"/>
          <w:sz w:val="24"/>
          <w:szCs w:val="28"/>
        </w:rPr>
        <w:t>0</w:t>
      </w:r>
      <w:r>
        <w:rPr>
          <w:rFonts w:hint="eastAsia" w:ascii="宋体" w:hAnsi="宋体" w:eastAsia="宋体"/>
          <w:sz w:val="24"/>
          <w:szCs w:val="28"/>
        </w:rPr>
        <w:t>天。</w:t>
      </w:r>
    </w:p>
    <w:p w14:paraId="3A34C008">
      <w:pPr>
        <w:spacing w:line="360" w:lineRule="auto"/>
        <w:ind w:firstLine="480"/>
        <w:rPr>
          <w:rFonts w:hint="eastAsia" w:ascii="宋体" w:hAnsi="宋体" w:eastAsia="宋体"/>
          <w:sz w:val="24"/>
          <w:szCs w:val="28"/>
        </w:rPr>
      </w:pPr>
      <w:r>
        <w:rPr>
          <w:rFonts w:hint="eastAsia" w:ascii="宋体" w:hAnsi="宋体" w:eastAsia="宋体"/>
          <w:sz w:val="24"/>
          <w:szCs w:val="28"/>
        </w:rPr>
        <w:t>2、付款方式：项目调试实施完成并经验收合格后采购人支付到合同金额的</w:t>
      </w:r>
      <w:r>
        <w:rPr>
          <w:rFonts w:ascii="宋体" w:hAnsi="宋体" w:eastAsia="宋体"/>
          <w:sz w:val="24"/>
          <w:szCs w:val="28"/>
        </w:rPr>
        <w:t>95</w:t>
      </w:r>
      <w:r>
        <w:rPr>
          <w:rFonts w:hint="eastAsia" w:ascii="宋体" w:hAnsi="宋体" w:eastAsia="宋体"/>
          <w:sz w:val="24"/>
          <w:szCs w:val="28"/>
        </w:rPr>
        <w:t>%，余款5</w:t>
      </w:r>
      <w:r>
        <w:rPr>
          <w:rFonts w:ascii="宋体" w:hAnsi="宋体" w:eastAsia="宋体"/>
          <w:sz w:val="24"/>
          <w:szCs w:val="28"/>
        </w:rPr>
        <w:t>%</w:t>
      </w:r>
      <w:r>
        <w:rPr>
          <w:rFonts w:hint="eastAsia" w:ascii="宋体" w:hAnsi="宋体" w:eastAsia="宋体"/>
          <w:sz w:val="24"/>
          <w:szCs w:val="28"/>
        </w:rPr>
        <w:t>一年后免息支付。</w:t>
      </w:r>
    </w:p>
    <w:p w14:paraId="14B7B871">
      <w:pPr>
        <w:spacing w:line="360" w:lineRule="auto"/>
        <w:ind w:firstLine="480"/>
        <w:rPr>
          <w:rFonts w:hint="eastAsia" w:ascii="宋体" w:hAnsi="宋体" w:eastAsia="宋体"/>
          <w:sz w:val="24"/>
          <w:szCs w:val="28"/>
        </w:rPr>
      </w:pPr>
      <w:r>
        <w:rPr>
          <w:rFonts w:hint="eastAsia" w:ascii="宋体" w:hAnsi="宋体" w:eastAsia="宋体"/>
          <w:sz w:val="24"/>
          <w:szCs w:val="28"/>
        </w:rPr>
        <w:t>3、免费质保期：所有网络硬件设备提供原厂五年质保，系统提供五年软件及特征库升级；本项目所用线缆需提供20年原厂质保。中标方需在签订合同前提供所有设备的原厂质保承诺函原件，否则不予签订合同。</w:t>
      </w:r>
    </w:p>
    <w:p w14:paraId="672B901B">
      <w:pPr>
        <w:spacing w:line="360" w:lineRule="auto"/>
        <w:ind w:firstLine="480"/>
        <w:rPr>
          <w:rFonts w:hint="eastAsia" w:ascii="宋体" w:hAnsi="宋体" w:eastAsia="宋体"/>
          <w:sz w:val="24"/>
          <w:szCs w:val="28"/>
        </w:rPr>
      </w:pPr>
      <w:r>
        <w:rPr>
          <w:rFonts w:hint="eastAsia" w:ascii="宋体" w:hAnsi="宋体" w:eastAsia="宋体"/>
          <w:sz w:val="24"/>
          <w:szCs w:val="28"/>
        </w:rPr>
        <w:t>供应商需承诺成交后一周内签订合同前提供设备制造商加盖公章的针对本项目的质保函原件，并在质保期内为设备清单内的软硬件产品在质保期内提供免费服务和相关软件的授权及软件版本和特征库免费升级（需提供承诺函）。</w:t>
      </w:r>
    </w:p>
    <w:p w14:paraId="0D443979">
      <w:pPr>
        <w:spacing w:line="360" w:lineRule="auto"/>
        <w:ind w:firstLine="480"/>
        <w:rPr>
          <w:rFonts w:hint="eastAsia" w:ascii="宋体" w:hAnsi="宋体" w:eastAsia="宋体"/>
          <w:sz w:val="24"/>
          <w:szCs w:val="28"/>
        </w:rPr>
      </w:pPr>
      <w:r>
        <w:rPr>
          <w:rFonts w:hint="eastAsia" w:ascii="宋体" w:hAnsi="宋体" w:eastAsia="宋体"/>
          <w:sz w:val="24"/>
          <w:szCs w:val="28"/>
        </w:rPr>
        <w:t>4、供应商在实施完毕后需根据校方需要提供主流厂商认证的高级工程师驻场服务，学校重大活动时按照学校要求提供工程师驻场服务，每次时长不低于1个月，并承诺在质保期内如发生故障，必须及时响应并免费上门服务，要求成交供应商提供7*24不间断热线响应；常见问题半小时到达现场，2小时修复；大故障6小时修复（投标响应时需提供承诺函）。</w:t>
      </w:r>
    </w:p>
    <w:p w14:paraId="11A46A5E">
      <w:pPr>
        <w:spacing w:line="360" w:lineRule="auto"/>
        <w:rPr>
          <w:rFonts w:hint="eastAsia" w:ascii="宋体" w:hAnsi="宋体" w:eastAsia="宋体"/>
          <w:b/>
          <w:bCs/>
          <w:sz w:val="24"/>
          <w:szCs w:val="28"/>
        </w:rPr>
      </w:pPr>
    </w:p>
    <w:p w14:paraId="6914DB48">
      <w:pPr>
        <w:spacing w:line="360" w:lineRule="auto"/>
        <w:ind w:firstLine="480" w:firstLineChars="200"/>
        <w:rPr>
          <w:rFonts w:hint="eastAsia" w:ascii="宋体" w:hAnsi="宋体" w:eastAsia="宋体" w:cs="宋体"/>
          <w:sz w:val="24"/>
          <w:szCs w:val="24"/>
        </w:rPr>
        <w:sectPr>
          <w:footerReference r:id="rId8" w:type="default"/>
          <w:pgSz w:w="11906" w:h="16838"/>
          <w:pgMar w:top="1440" w:right="1803" w:bottom="1440" w:left="1803" w:header="851" w:footer="851" w:gutter="0"/>
          <w:cols w:space="720" w:num="1"/>
          <w:docGrid w:linePitch="312" w:charSpace="0"/>
        </w:sectPr>
      </w:pPr>
      <w:bookmarkStart w:id="9" w:name="_Toc313869303"/>
      <w:bookmarkStart w:id="10" w:name="_Toc313869078"/>
      <w:bookmarkStart w:id="11" w:name="_Toc451844573"/>
    </w:p>
    <w:bookmarkEnd w:id="9"/>
    <w:bookmarkEnd w:id="10"/>
    <w:bookmarkEnd w:id="11"/>
    <w:p w14:paraId="47181A87">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12" w:name="_Toc179553571"/>
      <w:r>
        <w:rPr>
          <w:rFonts w:hint="eastAsia" w:ascii="宋体" w:hAnsi="宋体" w:eastAsia="宋体" w:cs="宋体"/>
          <w:b/>
          <w:bCs/>
          <w:kern w:val="0"/>
          <w:sz w:val="36"/>
          <w:szCs w:val="36"/>
        </w:rPr>
        <w:t xml:space="preserve">第五章 </w:t>
      </w:r>
      <w:r>
        <w:rPr>
          <w:rFonts w:ascii="宋体" w:hAnsi="宋体" w:eastAsia="宋体" w:cs="宋体"/>
          <w:b/>
          <w:bCs/>
          <w:kern w:val="0"/>
          <w:sz w:val="36"/>
          <w:szCs w:val="36"/>
        </w:rPr>
        <w:t>合同</w:t>
      </w:r>
      <w:r>
        <w:rPr>
          <w:rFonts w:hint="eastAsia" w:ascii="宋体" w:hAnsi="宋体" w:eastAsia="宋体" w:cs="宋体"/>
          <w:b/>
          <w:bCs/>
          <w:kern w:val="0"/>
          <w:sz w:val="36"/>
          <w:szCs w:val="36"/>
        </w:rPr>
        <w:t>条款及格式</w:t>
      </w:r>
      <w:bookmarkEnd w:id="12"/>
    </w:p>
    <w:p w14:paraId="02BE9679">
      <w:pPr>
        <w:pStyle w:val="28"/>
        <w:spacing w:before="120" w:after="120" w:line="360" w:lineRule="auto"/>
        <w:ind w:firstLine="420"/>
        <w:rPr>
          <w:rFonts w:hint="eastAsia" w:hAnsi="宋体"/>
        </w:rPr>
      </w:pPr>
      <w:r>
        <w:rPr>
          <w:rFonts w:hint="eastAsia" w:hAnsi="宋体"/>
        </w:rPr>
        <w:t>以下为中标后签定本项目合同的通用条款，中标人不得提出实质性的修改，关于专用条款将由采购人与中标人结合本项目具体情况协商后签订。</w:t>
      </w:r>
    </w:p>
    <w:p w14:paraId="649F42DF">
      <w:pPr>
        <w:pStyle w:val="28"/>
        <w:spacing w:before="120" w:after="120" w:line="360" w:lineRule="auto"/>
        <w:ind w:firstLine="422"/>
        <w:jc w:val="center"/>
        <w:rPr>
          <w:rFonts w:hint="eastAsia" w:hAnsi="宋体" w:cs="宋体"/>
          <w:b/>
          <w:bCs/>
        </w:rPr>
      </w:pPr>
      <w:r>
        <w:rPr>
          <w:rFonts w:hint="eastAsia" w:hAnsi="宋体" w:cs="宋体"/>
          <w:b/>
          <w:bCs/>
        </w:rPr>
        <w:t>采购合同（货物)（合同编号）</w:t>
      </w:r>
    </w:p>
    <w:p w14:paraId="4CD55794">
      <w:pPr>
        <w:pStyle w:val="28"/>
        <w:spacing w:before="120" w:after="120" w:line="360" w:lineRule="auto"/>
        <w:ind w:firstLine="420"/>
        <w:rPr>
          <w:rFonts w:hint="eastAsia" w:hAnsi="宋体" w:cs="宋体"/>
        </w:rPr>
      </w:pPr>
      <w:r>
        <w:rPr>
          <w:rFonts w:hint="eastAsia" w:hAnsi="宋体" w:cs="宋体"/>
        </w:rPr>
        <w:t>项目名称：</w:t>
      </w:r>
    </w:p>
    <w:p w14:paraId="2F8DAF32">
      <w:pPr>
        <w:pStyle w:val="28"/>
        <w:spacing w:before="120" w:after="120" w:line="360" w:lineRule="auto"/>
        <w:ind w:firstLine="420"/>
        <w:rPr>
          <w:rFonts w:hint="eastAsia" w:hAnsi="宋体" w:cs="宋体"/>
        </w:rPr>
      </w:pPr>
      <w:r>
        <w:rPr>
          <w:rFonts w:hint="eastAsia" w:hAnsi="宋体" w:cs="宋体"/>
        </w:rPr>
        <w:t>项目编号：</w:t>
      </w:r>
    </w:p>
    <w:p w14:paraId="6986D040">
      <w:pPr>
        <w:pStyle w:val="28"/>
        <w:spacing w:before="120" w:after="120" w:line="360" w:lineRule="auto"/>
        <w:ind w:firstLine="420"/>
        <w:rPr>
          <w:rFonts w:hint="eastAsia" w:hAnsi="宋体" w:cs="宋体"/>
        </w:rPr>
      </w:pPr>
      <w:r>
        <w:rPr>
          <w:rFonts w:hint="eastAsia" w:hAnsi="宋体" w:cs="宋体"/>
        </w:rPr>
        <w:t>甲方：（买方）_________</w:t>
      </w:r>
    </w:p>
    <w:p w14:paraId="73F02534">
      <w:pPr>
        <w:pStyle w:val="28"/>
        <w:spacing w:before="120" w:after="120" w:line="360" w:lineRule="auto"/>
        <w:ind w:firstLine="420"/>
        <w:rPr>
          <w:rFonts w:hint="eastAsia" w:hAnsi="宋体" w:cs="宋体"/>
        </w:rPr>
      </w:pPr>
      <w:r>
        <w:rPr>
          <w:rFonts w:hint="eastAsia" w:hAnsi="宋体" w:cs="宋体"/>
        </w:rPr>
        <w:t>乙方：（卖方）_________</w:t>
      </w:r>
    </w:p>
    <w:p w14:paraId="5ED022B1">
      <w:pPr>
        <w:pStyle w:val="28"/>
        <w:spacing w:before="120" w:after="120" w:line="360" w:lineRule="auto"/>
        <w:ind w:firstLine="420"/>
        <w:rPr>
          <w:rFonts w:hint="eastAsia" w:hAnsi="宋体" w:cs="宋体"/>
        </w:rPr>
      </w:pPr>
      <w:r>
        <w:rPr>
          <w:rFonts w:hint="eastAsia" w:hAnsi="宋体" w:cs="宋体"/>
        </w:rPr>
        <w:t>甲、乙双方根据</w:t>
      </w:r>
      <w:r>
        <w:rPr>
          <w:rFonts w:hint="eastAsia" w:hAnsi="宋体" w:cs="宋体"/>
          <w:u w:val="single"/>
        </w:rPr>
        <w:t xml:space="preserve">                       </w:t>
      </w:r>
      <w:r>
        <w:rPr>
          <w:rFonts w:hint="eastAsia" w:hAnsi="宋体" w:cs="宋体"/>
        </w:rPr>
        <w:t>项目公开招标的结果，签署本合同。</w:t>
      </w:r>
    </w:p>
    <w:p w14:paraId="71CFC23B">
      <w:pPr>
        <w:pStyle w:val="28"/>
        <w:spacing w:before="120" w:after="120" w:line="360" w:lineRule="auto"/>
        <w:ind w:firstLine="422"/>
        <w:rPr>
          <w:rFonts w:hint="eastAsia" w:hAnsi="宋体" w:cs="宋体"/>
          <w:b/>
          <w:bCs/>
        </w:rPr>
      </w:pPr>
      <w:r>
        <w:rPr>
          <w:rFonts w:hint="eastAsia" w:hAnsi="宋体" w:cs="宋体"/>
          <w:b/>
          <w:bCs/>
        </w:rPr>
        <w:t>一、货物及伴随服务</w:t>
      </w:r>
    </w:p>
    <w:p w14:paraId="4A5B3AC8">
      <w:pPr>
        <w:pStyle w:val="28"/>
        <w:spacing w:before="120" w:after="120" w:line="360" w:lineRule="auto"/>
        <w:ind w:firstLine="420"/>
        <w:rPr>
          <w:rFonts w:hint="eastAsia" w:hAnsi="宋体" w:cs="宋体"/>
        </w:rPr>
      </w:pPr>
      <w:r>
        <w:rPr>
          <w:rFonts w:hint="eastAsia" w:hAnsi="宋体" w:cs="宋体"/>
        </w:rPr>
        <w:t>1.1 货物及服务名称：</w:t>
      </w:r>
    </w:p>
    <w:p w14:paraId="28EAF37C">
      <w:pPr>
        <w:pStyle w:val="28"/>
        <w:spacing w:before="120" w:after="120" w:line="360" w:lineRule="auto"/>
        <w:ind w:firstLine="420"/>
        <w:rPr>
          <w:rFonts w:hint="eastAsia" w:hAnsi="宋体" w:cs="宋体"/>
        </w:rPr>
      </w:pPr>
      <w:r>
        <w:rPr>
          <w:rFonts w:hint="eastAsia" w:hAnsi="宋体" w:cs="宋体"/>
        </w:rPr>
        <w:t>1.2 型号规格：</w:t>
      </w:r>
    </w:p>
    <w:p w14:paraId="588B93F1">
      <w:pPr>
        <w:pStyle w:val="28"/>
        <w:spacing w:before="120" w:after="120" w:line="360" w:lineRule="auto"/>
        <w:ind w:firstLine="420"/>
        <w:rPr>
          <w:rFonts w:hint="eastAsia" w:hAnsi="宋体" w:cs="宋体"/>
        </w:rPr>
      </w:pPr>
      <w:r>
        <w:rPr>
          <w:rFonts w:hint="eastAsia" w:hAnsi="宋体" w:cs="宋体"/>
        </w:rPr>
        <w:t>1.3 数量（单位）</w:t>
      </w:r>
    </w:p>
    <w:p w14:paraId="7DB771B8">
      <w:pPr>
        <w:pStyle w:val="28"/>
        <w:spacing w:before="120" w:after="120" w:line="360" w:lineRule="auto"/>
        <w:ind w:firstLine="422"/>
        <w:rPr>
          <w:rFonts w:hint="eastAsia" w:hAnsi="宋体" w:cs="宋体"/>
          <w:b/>
          <w:bCs/>
        </w:rPr>
      </w:pPr>
      <w:r>
        <w:rPr>
          <w:rFonts w:hint="eastAsia" w:hAnsi="宋体" w:cs="宋体"/>
          <w:b/>
          <w:bCs/>
        </w:rPr>
        <w:t>二、合同金额</w:t>
      </w:r>
    </w:p>
    <w:p w14:paraId="5E7F938E">
      <w:pPr>
        <w:pStyle w:val="28"/>
        <w:spacing w:before="120" w:after="120" w:line="360" w:lineRule="auto"/>
        <w:ind w:firstLine="420"/>
        <w:rPr>
          <w:rFonts w:hint="eastAsia" w:hAnsi="宋体" w:cs="宋体"/>
        </w:rPr>
      </w:pPr>
      <w:r>
        <w:rPr>
          <w:rFonts w:hint="eastAsia" w:hAnsi="宋体" w:cs="宋体"/>
        </w:rPr>
        <w:t>2.1  本合同为固定包干总价合同。</w:t>
      </w:r>
    </w:p>
    <w:p w14:paraId="019292A3">
      <w:pPr>
        <w:pStyle w:val="28"/>
        <w:spacing w:before="120" w:after="120" w:line="360" w:lineRule="auto"/>
        <w:ind w:firstLine="420"/>
        <w:rPr>
          <w:rFonts w:hint="eastAsia" w:hAnsi="宋体" w:cs="宋体"/>
        </w:rPr>
      </w:pPr>
      <w:r>
        <w:rPr>
          <w:rFonts w:hint="eastAsia" w:hAnsi="宋体" w:cs="宋体"/>
        </w:rPr>
        <w:t>2.2本合同金额为（大写）：____________________________________圆（_______________元）人民币。</w:t>
      </w:r>
    </w:p>
    <w:p w14:paraId="6F10352E">
      <w:pPr>
        <w:pStyle w:val="28"/>
        <w:spacing w:before="120" w:after="120" w:line="360" w:lineRule="auto"/>
        <w:ind w:firstLine="422"/>
        <w:rPr>
          <w:rFonts w:hint="eastAsia" w:hAnsi="宋体" w:cs="宋体"/>
          <w:b/>
          <w:bCs/>
        </w:rPr>
      </w:pPr>
      <w:r>
        <w:rPr>
          <w:rFonts w:hint="eastAsia" w:hAnsi="宋体" w:cs="宋体"/>
          <w:b/>
          <w:bCs/>
        </w:rPr>
        <w:t>三、技术资料</w:t>
      </w:r>
    </w:p>
    <w:p w14:paraId="5BD507DE">
      <w:pPr>
        <w:pStyle w:val="28"/>
        <w:spacing w:before="120" w:after="120" w:line="360" w:lineRule="auto"/>
        <w:ind w:firstLine="420"/>
        <w:rPr>
          <w:rFonts w:hint="eastAsia" w:hAnsi="宋体" w:cs="宋体"/>
        </w:rPr>
      </w:pPr>
      <w:r>
        <w:rPr>
          <w:rFonts w:hint="eastAsia" w:hAnsi="宋体" w:cs="宋体"/>
        </w:rPr>
        <w:t>3.1乙方应按采购文件规定的时间向甲方提供使用货物及服务的有关技术资料。</w:t>
      </w:r>
    </w:p>
    <w:p w14:paraId="169BB315">
      <w:pPr>
        <w:pStyle w:val="28"/>
        <w:spacing w:before="120" w:after="120" w:line="360" w:lineRule="auto"/>
        <w:ind w:firstLine="420"/>
        <w:rPr>
          <w:rFonts w:hint="eastAsia" w:hAnsi="宋体" w:cs="宋体"/>
        </w:rPr>
      </w:pPr>
      <w:r>
        <w:rPr>
          <w:rFonts w:hint="eastAsia" w:hAnsi="宋体" w:cs="宋体"/>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E31E187">
      <w:pPr>
        <w:pStyle w:val="28"/>
        <w:spacing w:before="120" w:after="120" w:line="360" w:lineRule="auto"/>
        <w:ind w:firstLine="422"/>
        <w:rPr>
          <w:rFonts w:hint="eastAsia" w:hAnsi="宋体" w:cs="宋体"/>
          <w:b/>
          <w:bCs/>
        </w:rPr>
      </w:pPr>
      <w:r>
        <w:rPr>
          <w:rFonts w:hint="eastAsia" w:hAnsi="宋体" w:cs="宋体"/>
          <w:b/>
          <w:bCs/>
        </w:rPr>
        <w:t>四、知识产权</w:t>
      </w:r>
    </w:p>
    <w:p w14:paraId="0AA5DB07">
      <w:pPr>
        <w:pStyle w:val="28"/>
        <w:spacing w:before="120" w:after="120" w:line="360" w:lineRule="auto"/>
        <w:ind w:firstLine="420"/>
        <w:rPr>
          <w:rFonts w:hint="eastAsia" w:hAnsi="宋体" w:cs="宋体"/>
        </w:rPr>
      </w:pPr>
      <w:r>
        <w:rPr>
          <w:rFonts w:hint="eastAsia" w:hAnsi="宋体" w:cs="宋体"/>
        </w:rPr>
        <w:t>4.1乙方应保证甲方在使用、接受本合同货物及服务或其任何一部分时不受第三方提出侵犯其专利权、版权、商标权和工业设计权等知识产权的起诉。一旦出现侵权，由乙方负全部责任。</w:t>
      </w:r>
    </w:p>
    <w:p w14:paraId="17D04D13">
      <w:pPr>
        <w:pStyle w:val="28"/>
        <w:spacing w:before="120" w:after="120" w:line="360" w:lineRule="auto"/>
        <w:ind w:firstLine="422"/>
        <w:rPr>
          <w:rFonts w:hint="eastAsia" w:hAnsi="宋体" w:cs="宋体"/>
          <w:b/>
          <w:bCs/>
        </w:rPr>
      </w:pPr>
      <w:r>
        <w:rPr>
          <w:rFonts w:hint="eastAsia" w:hAnsi="宋体" w:cs="宋体"/>
          <w:b/>
          <w:bCs/>
        </w:rPr>
        <w:t>五、产权担保</w:t>
      </w:r>
    </w:p>
    <w:p w14:paraId="2D2987DA">
      <w:pPr>
        <w:pStyle w:val="28"/>
        <w:spacing w:before="120" w:after="120" w:line="360" w:lineRule="auto"/>
        <w:ind w:firstLine="420"/>
        <w:rPr>
          <w:rFonts w:hint="eastAsia" w:hAnsi="宋体" w:cs="宋体"/>
        </w:rPr>
      </w:pPr>
      <w:r>
        <w:rPr>
          <w:rFonts w:hint="eastAsia" w:hAnsi="宋体" w:cs="宋体"/>
        </w:rPr>
        <w:t>5.1 乙方保证所交付的货物及服务的所有权完全属于乙方且无任何抵押、查封等产权瑕疵。</w:t>
      </w:r>
    </w:p>
    <w:p w14:paraId="2D4D87A5">
      <w:pPr>
        <w:pStyle w:val="28"/>
        <w:spacing w:before="120" w:after="120" w:line="360" w:lineRule="auto"/>
        <w:ind w:firstLine="422"/>
        <w:rPr>
          <w:rFonts w:hint="eastAsia" w:hAnsi="宋体" w:cs="宋体"/>
          <w:b/>
          <w:bCs/>
        </w:rPr>
      </w:pPr>
      <w:r>
        <w:rPr>
          <w:rFonts w:hint="eastAsia" w:hAnsi="宋体" w:cs="宋体"/>
          <w:b/>
          <w:bCs/>
        </w:rPr>
        <w:t>六、履约保证金</w:t>
      </w:r>
    </w:p>
    <w:p w14:paraId="1259896E">
      <w:pPr>
        <w:pStyle w:val="28"/>
        <w:spacing w:before="120" w:after="120" w:line="360" w:lineRule="auto"/>
        <w:ind w:firstLine="420"/>
        <w:rPr>
          <w:rFonts w:hint="eastAsia" w:hAnsi="宋体" w:cs="宋体"/>
        </w:rPr>
      </w:pPr>
      <w:r>
        <w:rPr>
          <w:rFonts w:hint="eastAsia" w:hAnsi="宋体" w:cs="宋体"/>
        </w:rPr>
        <w:t>6.1收取履约保证金的，</w:t>
      </w:r>
      <w:r>
        <w:rPr>
          <w:rFonts w:hint="eastAsia" w:hAnsi="宋体"/>
        </w:rPr>
        <w:t>允许中标人自主选择支票、汇票、本票、保函等非现金形式缴纳或提交，</w:t>
      </w:r>
      <w:r>
        <w:rPr>
          <w:rFonts w:hint="eastAsia" w:hAnsi="宋体" w:cs="宋体"/>
        </w:rPr>
        <w:t>应当在采购合同中约定履约保证金退还的方式、时间、条件和不予退还的情形，明确逾期退还履约保证金的违约责任。</w:t>
      </w:r>
    </w:p>
    <w:p w14:paraId="0FF9F530">
      <w:pPr>
        <w:pStyle w:val="28"/>
        <w:spacing w:before="120" w:after="120" w:line="360" w:lineRule="auto"/>
        <w:ind w:firstLine="420"/>
        <w:rPr>
          <w:rFonts w:hint="eastAsia" w:hAnsi="宋体" w:cs="宋体"/>
        </w:rPr>
      </w:pPr>
      <w:r>
        <w:rPr>
          <w:rFonts w:hint="eastAsia" w:hAnsi="宋体" w:cs="宋体"/>
        </w:rPr>
        <w:t>6.2履约保证金用以约束乙方在合同履行中的行为，以及弥补合同履行中由于乙方自身行为可能给甲方带来的各种损失；若履约保证金额不足以弥补乙方违约造成甲方损失的，甲方可继续向乙方主张索赔。</w:t>
      </w:r>
    </w:p>
    <w:p w14:paraId="033FFD12">
      <w:pPr>
        <w:pStyle w:val="28"/>
        <w:spacing w:before="120" w:after="120" w:line="360" w:lineRule="auto"/>
        <w:ind w:firstLine="420"/>
        <w:rPr>
          <w:rFonts w:hint="eastAsia" w:hAnsi="宋体" w:cs="宋体"/>
        </w:rPr>
      </w:pPr>
      <w:r>
        <w:rPr>
          <w:rFonts w:hint="eastAsia" w:hAnsi="宋体" w:cs="宋体"/>
        </w:rPr>
        <w:t>6.3 履约保证金扣除甲方应得的补偿后的余额，在本合同履行结束后由甲方退还。逾期退还的，按中国人民银行同期贷款基准利率上浮20%后的利率支付超期资金占用费，但因乙方自身原因导致无法及时退还的除外。 </w:t>
      </w:r>
    </w:p>
    <w:p w14:paraId="48DC4BB8">
      <w:pPr>
        <w:pStyle w:val="28"/>
        <w:spacing w:before="120" w:after="120" w:line="360" w:lineRule="auto"/>
        <w:ind w:firstLine="420"/>
        <w:rPr>
          <w:rFonts w:hint="eastAsia" w:hAnsi="宋体"/>
        </w:rPr>
      </w:pPr>
      <w:r>
        <w:rPr>
          <w:rFonts w:hint="eastAsia" w:hAnsi="宋体"/>
        </w:rPr>
        <w:t>6.4 履约保证收取：无</w:t>
      </w:r>
    </w:p>
    <w:p w14:paraId="4651A3D1">
      <w:pPr>
        <w:pStyle w:val="28"/>
        <w:spacing w:before="120" w:after="120" w:line="360" w:lineRule="auto"/>
        <w:ind w:firstLine="422"/>
        <w:rPr>
          <w:rFonts w:hint="eastAsia" w:hAnsi="宋体" w:cs="宋体"/>
          <w:b/>
          <w:bCs/>
        </w:rPr>
      </w:pPr>
      <w:r>
        <w:rPr>
          <w:rFonts w:hint="eastAsia" w:hAnsi="宋体" w:cs="宋体"/>
          <w:b/>
          <w:bCs/>
        </w:rPr>
        <w:t>七、转包或分包</w:t>
      </w:r>
    </w:p>
    <w:p w14:paraId="45066ED4">
      <w:pPr>
        <w:pStyle w:val="28"/>
        <w:spacing w:before="120" w:after="120" w:line="360" w:lineRule="auto"/>
        <w:ind w:firstLine="420"/>
        <w:rPr>
          <w:rFonts w:hint="eastAsia" w:hAnsi="宋体" w:cs="宋体"/>
        </w:rPr>
      </w:pPr>
      <w:r>
        <w:rPr>
          <w:rFonts w:hint="eastAsia" w:hAnsi="宋体" w:cs="宋体"/>
        </w:rPr>
        <w:t>7.1本合同范围的货物及服务，应由乙方直接供应，不得转让他人供应；</w:t>
      </w:r>
    </w:p>
    <w:p w14:paraId="22D6960E">
      <w:pPr>
        <w:pStyle w:val="28"/>
        <w:spacing w:before="120" w:after="120" w:line="360" w:lineRule="auto"/>
        <w:ind w:firstLine="420"/>
        <w:rPr>
          <w:rFonts w:hint="eastAsia" w:hAnsi="宋体" w:cs="宋体"/>
        </w:rPr>
      </w:pPr>
      <w:r>
        <w:rPr>
          <w:rFonts w:hint="eastAsia" w:hAnsi="宋体" w:cs="宋体"/>
        </w:rPr>
        <w:t>7.2 除非得到甲方的书面同意，乙方不得部分分包给他人供应。</w:t>
      </w:r>
    </w:p>
    <w:p w14:paraId="1D47652A">
      <w:pPr>
        <w:pStyle w:val="28"/>
        <w:spacing w:before="120" w:after="120" w:line="360" w:lineRule="auto"/>
        <w:ind w:firstLine="420"/>
        <w:rPr>
          <w:rFonts w:hint="eastAsia" w:hAnsi="宋体" w:cs="宋体"/>
        </w:rPr>
      </w:pPr>
      <w:r>
        <w:rPr>
          <w:rFonts w:hint="eastAsia" w:hAnsi="宋体" w:cs="宋体"/>
        </w:rPr>
        <w:t>7.3如有转让和未经甲方同意的分包行为，甲方有权给予终止合同。</w:t>
      </w:r>
    </w:p>
    <w:p w14:paraId="5700BA13">
      <w:pPr>
        <w:pStyle w:val="28"/>
        <w:spacing w:before="120" w:after="120" w:line="360" w:lineRule="auto"/>
        <w:ind w:firstLine="422"/>
        <w:rPr>
          <w:rFonts w:hint="eastAsia" w:hAnsi="宋体" w:cs="宋体"/>
          <w:b/>
          <w:bCs/>
        </w:rPr>
      </w:pPr>
      <w:r>
        <w:rPr>
          <w:rFonts w:hint="eastAsia" w:hAnsi="宋体" w:cs="宋体"/>
          <w:b/>
          <w:bCs/>
        </w:rPr>
        <w:t>八、质保期</w:t>
      </w:r>
    </w:p>
    <w:p w14:paraId="51EF3F1F">
      <w:pPr>
        <w:pStyle w:val="28"/>
        <w:spacing w:before="120" w:after="120" w:line="360" w:lineRule="auto"/>
        <w:ind w:firstLine="420"/>
        <w:rPr>
          <w:rFonts w:hint="eastAsia" w:hAnsi="宋体" w:cs="宋体"/>
        </w:rPr>
      </w:pPr>
      <w:r>
        <w:rPr>
          <w:rFonts w:hint="eastAsia" w:hAnsi="宋体" w:cs="宋体"/>
        </w:rPr>
        <w:t>8.1 质保期</w:t>
      </w:r>
      <w:r>
        <w:rPr>
          <w:rFonts w:hint="eastAsia" w:hAnsi="宋体" w:cs="宋体"/>
          <w:sz w:val="36"/>
          <w:szCs w:val="36"/>
          <w:u w:val="single"/>
        </w:rPr>
        <w:t xml:space="preserve"> </w:t>
      </w:r>
      <w:r>
        <w:rPr>
          <w:rFonts w:hint="eastAsia" w:hAnsi="宋体" w:cs="宋体"/>
          <w:u w:val="single"/>
        </w:rPr>
        <w:t>5</w:t>
      </w:r>
      <w:r>
        <w:rPr>
          <w:rFonts w:hint="eastAsia" w:hAnsi="宋体" w:cs="宋体"/>
          <w:sz w:val="36"/>
          <w:szCs w:val="36"/>
          <w:u w:val="single"/>
        </w:rPr>
        <w:t xml:space="preserve"> </w:t>
      </w:r>
      <w:r>
        <w:rPr>
          <w:rFonts w:hint="eastAsia" w:hAnsi="宋体" w:cs="宋体"/>
        </w:rPr>
        <w:t>年。（自交货验收合格之日起计）</w:t>
      </w:r>
    </w:p>
    <w:p w14:paraId="62556865">
      <w:pPr>
        <w:pStyle w:val="28"/>
        <w:spacing w:before="120" w:after="120" w:line="360" w:lineRule="auto"/>
        <w:ind w:firstLine="422"/>
        <w:rPr>
          <w:rFonts w:hint="eastAsia" w:hAnsi="宋体" w:cs="宋体"/>
          <w:b/>
          <w:bCs/>
        </w:rPr>
      </w:pPr>
      <w:r>
        <w:rPr>
          <w:rFonts w:hint="eastAsia" w:hAnsi="宋体" w:cs="宋体"/>
          <w:b/>
          <w:bCs/>
        </w:rPr>
        <w:t>九、交付期、交付方式及交付地点</w:t>
      </w:r>
    </w:p>
    <w:p w14:paraId="0192C642">
      <w:pPr>
        <w:spacing w:line="360" w:lineRule="auto"/>
        <w:ind w:firstLine="420"/>
        <w:rPr>
          <w:rFonts w:hint="eastAsia" w:ascii="宋体" w:hAnsi="宋体" w:eastAsia="宋体" w:cs="宋体"/>
          <w:szCs w:val="21"/>
        </w:rPr>
      </w:pPr>
      <w:r>
        <w:rPr>
          <w:rFonts w:hint="eastAsia" w:ascii="宋体" w:hAnsi="宋体" w:eastAsia="宋体" w:cs="宋体"/>
          <w:szCs w:val="21"/>
        </w:rPr>
        <w:t>9.1 交付期：_________</w:t>
      </w:r>
    </w:p>
    <w:p w14:paraId="76CC841A">
      <w:pPr>
        <w:spacing w:line="360" w:lineRule="auto"/>
        <w:ind w:firstLine="420"/>
        <w:rPr>
          <w:rFonts w:hint="eastAsia" w:ascii="宋体" w:hAnsi="宋体" w:eastAsia="宋体" w:cs="宋体"/>
          <w:szCs w:val="21"/>
        </w:rPr>
      </w:pPr>
      <w:r>
        <w:rPr>
          <w:rFonts w:hint="eastAsia" w:ascii="宋体" w:hAnsi="宋体" w:eastAsia="宋体" w:cs="宋体"/>
          <w:szCs w:val="21"/>
        </w:rPr>
        <w:t>9.2 交付方式：_________</w:t>
      </w:r>
    </w:p>
    <w:p w14:paraId="1EF4C725">
      <w:pPr>
        <w:spacing w:line="360" w:lineRule="auto"/>
        <w:ind w:firstLine="420"/>
        <w:rPr>
          <w:rFonts w:hint="eastAsia" w:ascii="宋体" w:hAnsi="宋体" w:eastAsia="宋体" w:cs="宋体"/>
          <w:szCs w:val="21"/>
        </w:rPr>
      </w:pPr>
      <w:r>
        <w:rPr>
          <w:rFonts w:hint="eastAsia" w:ascii="宋体" w:hAnsi="宋体" w:eastAsia="宋体" w:cs="宋体"/>
          <w:szCs w:val="21"/>
        </w:rPr>
        <w:t>9.3 交付地点：_________</w:t>
      </w:r>
    </w:p>
    <w:p w14:paraId="2F889276">
      <w:pPr>
        <w:pStyle w:val="28"/>
        <w:spacing w:before="120" w:after="120" w:line="360" w:lineRule="auto"/>
        <w:ind w:firstLine="422"/>
        <w:rPr>
          <w:rFonts w:hint="eastAsia" w:hAnsi="宋体" w:cs="宋体"/>
          <w:b/>
          <w:bCs/>
        </w:rPr>
      </w:pPr>
      <w:r>
        <w:rPr>
          <w:rFonts w:hint="eastAsia" w:hAnsi="宋体" w:cs="宋体"/>
          <w:b/>
          <w:bCs/>
        </w:rPr>
        <w:t>十、货款支付</w:t>
      </w:r>
    </w:p>
    <w:p w14:paraId="25677F4D">
      <w:pPr>
        <w:spacing w:line="360" w:lineRule="auto"/>
        <w:ind w:firstLine="420"/>
        <w:rPr>
          <w:rFonts w:hint="eastAsia" w:ascii="宋体" w:hAnsi="宋体" w:eastAsia="宋体" w:cs="宋体"/>
          <w:szCs w:val="21"/>
        </w:rPr>
      </w:pPr>
      <w:r>
        <w:rPr>
          <w:rFonts w:hint="eastAsia" w:ascii="宋体" w:hAnsi="宋体" w:eastAsia="宋体" w:cs="宋体"/>
          <w:szCs w:val="21"/>
        </w:rPr>
        <w:t>10.1 本合同项下所有款项均以人民币支付。</w:t>
      </w:r>
    </w:p>
    <w:p w14:paraId="0E8B7CED">
      <w:pPr>
        <w:spacing w:line="360" w:lineRule="auto"/>
        <w:ind w:firstLine="420"/>
        <w:rPr>
          <w:rFonts w:hint="eastAsia" w:ascii="宋体" w:hAnsi="宋体" w:eastAsia="宋体" w:cs="宋体"/>
          <w:szCs w:val="21"/>
        </w:rPr>
      </w:pPr>
      <w:r>
        <w:rPr>
          <w:rFonts w:hint="eastAsia" w:ascii="宋体" w:hAnsi="宋体" w:eastAsia="宋体" w:cs="宋体"/>
          <w:szCs w:val="21"/>
        </w:rPr>
        <w:t>10.2 本合同项下的采购资金由甲方支付，付款前乙方向甲方开具发票。</w:t>
      </w:r>
    </w:p>
    <w:p w14:paraId="18443C4F">
      <w:pPr>
        <w:pStyle w:val="28"/>
        <w:spacing w:line="360" w:lineRule="auto"/>
        <w:ind w:firstLine="420"/>
        <w:rPr>
          <w:rFonts w:hint="eastAsia" w:hAnsi="宋体" w:cs="宋体"/>
        </w:rPr>
      </w:pPr>
      <w:r>
        <w:rPr>
          <w:rFonts w:hint="eastAsia" w:hAnsi="宋体" w:cs="宋体"/>
        </w:rPr>
        <w:t>10.3甲方付款方式：</w:t>
      </w:r>
    </w:p>
    <w:p w14:paraId="74B44D6E">
      <w:pPr>
        <w:pStyle w:val="28"/>
        <w:spacing w:before="120" w:after="120" w:line="360" w:lineRule="auto"/>
        <w:ind w:firstLine="422"/>
        <w:rPr>
          <w:rFonts w:hint="eastAsia" w:hAnsi="宋体" w:cs="宋体"/>
          <w:color w:val="000000"/>
          <w:sz w:val="24"/>
          <w:szCs w:val="24"/>
        </w:rPr>
      </w:pPr>
      <w:r>
        <w:rPr>
          <w:rFonts w:hint="eastAsia" w:hAnsi="宋体" w:cs="宋体"/>
          <w:color w:val="000000"/>
          <w:sz w:val="24"/>
          <w:szCs w:val="24"/>
        </w:rPr>
        <w:t>项目调试实施完成并经验收合格后采购人支付到合同金额的95%，余款5%一年后免息支付。</w:t>
      </w:r>
    </w:p>
    <w:p w14:paraId="4A5002E6">
      <w:pPr>
        <w:pStyle w:val="28"/>
        <w:spacing w:before="120" w:after="120" w:line="360" w:lineRule="auto"/>
        <w:ind w:firstLine="422"/>
        <w:rPr>
          <w:rFonts w:hint="eastAsia" w:hAnsi="宋体" w:cs="宋体"/>
          <w:b/>
          <w:bCs/>
        </w:rPr>
      </w:pPr>
      <w:r>
        <w:rPr>
          <w:rFonts w:hint="eastAsia" w:hAnsi="宋体" w:cs="宋体"/>
          <w:b/>
          <w:bCs/>
        </w:rPr>
        <w:t>十一、税费</w:t>
      </w:r>
    </w:p>
    <w:p w14:paraId="7A8C01CD">
      <w:pPr>
        <w:pStyle w:val="28"/>
        <w:spacing w:before="120" w:after="120" w:line="360" w:lineRule="auto"/>
        <w:ind w:firstLine="420"/>
        <w:rPr>
          <w:rFonts w:hint="eastAsia" w:hAnsi="宋体" w:cs="宋体"/>
        </w:rPr>
      </w:pPr>
      <w:r>
        <w:rPr>
          <w:rFonts w:hint="eastAsia" w:hAnsi="宋体" w:cs="宋体"/>
        </w:rPr>
        <w:t>11.1本合同执行中相关的一切税费均由乙方负担。</w:t>
      </w:r>
    </w:p>
    <w:p w14:paraId="682E03EA">
      <w:pPr>
        <w:pStyle w:val="28"/>
        <w:spacing w:before="120" w:after="120" w:line="360" w:lineRule="auto"/>
        <w:ind w:firstLine="422"/>
        <w:rPr>
          <w:rFonts w:hint="eastAsia" w:hAnsi="宋体" w:cs="宋体"/>
          <w:b/>
          <w:bCs/>
        </w:rPr>
      </w:pPr>
      <w:r>
        <w:rPr>
          <w:rFonts w:hint="eastAsia" w:hAnsi="宋体" w:cs="宋体"/>
          <w:b/>
          <w:bCs/>
        </w:rPr>
        <w:t>十二、质量保证及售后服务</w:t>
      </w:r>
    </w:p>
    <w:p w14:paraId="48591E52">
      <w:pPr>
        <w:pStyle w:val="28"/>
        <w:spacing w:before="120" w:after="120" w:line="360" w:lineRule="auto"/>
        <w:ind w:firstLine="420"/>
        <w:rPr>
          <w:rFonts w:hint="eastAsia" w:hAnsi="宋体" w:cs="宋体"/>
        </w:rPr>
      </w:pPr>
      <w:r>
        <w:rPr>
          <w:rFonts w:hint="eastAsia" w:hAnsi="宋体" w:cs="宋体"/>
        </w:rPr>
        <w:t>12.1 乙方应按采购文件规定的货物及服务性能、技术要求、质量标准向甲方提供。</w:t>
      </w:r>
    </w:p>
    <w:p w14:paraId="1DED025D">
      <w:pPr>
        <w:pStyle w:val="28"/>
        <w:spacing w:before="120" w:after="120" w:line="360" w:lineRule="auto"/>
        <w:ind w:firstLine="420"/>
        <w:rPr>
          <w:rFonts w:hint="eastAsia" w:hAnsi="宋体" w:cs="宋体"/>
        </w:rPr>
      </w:pPr>
      <w:r>
        <w:rPr>
          <w:rFonts w:hint="eastAsia" w:hAnsi="宋体" w:cs="宋体"/>
        </w:rPr>
        <w:t>12.2 乙方提供的货物及服务在质量期内因服务及产品本身的质量问题发生故障，乙方应负责免费更换。对达不到技术要求者，根据实际情况，经双方协商，可按以下办法处理：</w:t>
      </w:r>
    </w:p>
    <w:p w14:paraId="288063B5">
      <w:pPr>
        <w:pStyle w:val="28"/>
        <w:spacing w:before="120" w:after="120" w:line="360" w:lineRule="auto"/>
        <w:ind w:firstLine="420"/>
        <w:rPr>
          <w:rFonts w:hint="eastAsia" w:hAnsi="宋体" w:cs="宋体"/>
        </w:rPr>
      </w:pPr>
      <w:r>
        <w:rPr>
          <w:rFonts w:hint="eastAsia" w:hAnsi="宋体" w:cs="宋体"/>
        </w:rPr>
        <w:t>⑴更换：由乙方承担所发生的全部费用。</w:t>
      </w:r>
    </w:p>
    <w:p w14:paraId="607DD9E3">
      <w:pPr>
        <w:pStyle w:val="28"/>
        <w:spacing w:before="120" w:after="120" w:line="360" w:lineRule="auto"/>
        <w:ind w:firstLine="420"/>
        <w:rPr>
          <w:rFonts w:hint="eastAsia" w:hAnsi="宋体" w:cs="宋体"/>
        </w:rPr>
      </w:pPr>
      <w:r>
        <w:rPr>
          <w:rFonts w:hint="eastAsia" w:hAnsi="宋体" w:cs="宋体"/>
        </w:rPr>
        <w:t>⑵贬值处理：由甲乙双方合议定价。</w:t>
      </w:r>
    </w:p>
    <w:p w14:paraId="571CD013">
      <w:pPr>
        <w:pStyle w:val="28"/>
        <w:spacing w:before="120" w:after="120" w:line="360" w:lineRule="auto"/>
        <w:ind w:firstLine="420"/>
        <w:rPr>
          <w:rFonts w:hint="eastAsia" w:hAnsi="宋体" w:cs="宋体"/>
        </w:rPr>
      </w:pPr>
      <w:r>
        <w:rPr>
          <w:rFonts w:hint="eastAsia" w:hAnsi="宋体" w:cs="宋体"/>
        </w:rPr>
        <w:t>⑶退还处理：乙方应退还甲方支付的合同款，同时应承担该货物及服务的直接费用（运输、保险、检验、款项利息及银行手续费等）。</w:t>
      </w:r>
    </w:p>
    <w:p w14:paraId="0767575A">
      <w:pPr>
        <w:pStyle w:val="28"/>
        <w:spacing w:before="120" w:after="120" w:line="360" w:lineRule="auto"/>
        <w:ind w:firstLine="420"/>
        <w:rPr>
          <w:rFonts w:hint="eastAsia" w:hAnsi="宋体" w:cs="宋体"/>
        </w:rPr>
      </w:pPr>
      <w:r>
        <w:rPr>
          <w:rFonts w:hint="eastAsia" w:hAnsi="宋体" w:cs="宋体"/>
        </w:rPr>
        <w:t>12.3 如在使用过程中发生质量问题，乙方在接到甲方通知后在______小时内到达甲方现场。</w:t>
      </w:r>
    </w:p>
    <w:p w14:paraId="228EC122">
      <w:pPr>
        <w:pStyle w:val="28"/>
        <w:spacing w:before="120" w:after="120" w:line="360" w:lineRule="auto"/>
        <w:ind w:firstLine="420"/>
        <w:rPr>
          <w:rFonts w:hint="eastAsia" w:hAnsi="宋体" w:cs="宋体"/>
        </w:rPr>
      </w:pPr>
      <w:r>
        <w:rPr>
          <w:rFonts w:hint="eastAsia" w:hAnsi="宋体" w:cs="宋体"/>
        </w:rPr>
        <w:t>12.4 在质保期内，乙方应对货物及服务出现的质量及安全问题负责处理解决并承担一切费用。</w:t>
      </w:r>
    </w:p>
    <w:p w14:paraId="5993F9FC">
      <w:pPr>
        <w:pStyle w:val="28"/>
        <w:spacing w:before="120" w:after="120" w:line="360" w:lineRule="auto"/>
        <w:ind w:firstLine="420"/>
        <w:rPr>
          <w:rFonts w:hint="eastAsia" w:hAnsi="宋体" w:cs="宋体"/>
        </w:rPr>
      </w:pPr>
      <w:r>
        <w:rPr>
          <w:rFonts w:hint="eastAsia" w:hAnsi="宋体" w:cs="宋体"/>
        </w:rPr>
        <w:t>12.5上述的货物及服务免费保修期为</w:t>
      </w:r>
      <w:r>
        <w:rPr>
          <w:rFonts w:hint="eastAsia" w:hAnsi="宋体" w:cs="宋体"/>
          <w:u w:val="single"/>
        </w:rPr>
        <w:t xml:space="preserve">   </w:t>
      </w:r>
      <w:r>
        <w:rPr>
          <w:rFonts w:hint="eastAsia" w:hAnsi="宋体" w:cs="宋体"/>
          <w:b/>
          <w:bCs/>
          <w:u w:val="single"/>
        </w:rPr>
        <w:t xml:space="preserve"> 5   </w:t>
      </w:r>
      <w:r>
        <w:rPr>
          <w:rFonts w:hint="eastAsia" w:hAnsi="宋体" w:cs="宋体"/>
        </w:rPr>
        <w:t>年，因人为因素出现的故障不在免费保修范围内。超过保修期的机器设备，终生维修，维修时只收部件成本费。</w:t>
      </w:r>
    </w:p>
    <w:p w14:paraId="1CEA2113">
      <w:pPr>
        <w:pStyle w:val="28"/>
        <w:spacing w:before="120" w:after="120" w:line="360" w:lineRule="auto"/>
        <w:ind w:firstLine="422"/>
        <w:rPr>
          <w:rFonts w:hint="eastAsia" w:hAnsi="宋体" w:cs="宋体"/>
          <w:b/>
          <w:bCs/>
        </w:rPr>
      </w:pPr>
      <w:r>
        <w:rPr>
          <w:rFonts w:hint="eastAsia" w:hAnsi="宋体" w:cs="宋体"/>
          <w:b/>
          <w:bCs/>
        </w:rPr>
        <w:t>十三、调试和验收</w:t>
      </w:r>
    </w:p>
    <w:p w14:paraId="5D03984A">
      <w:pPr>
        <w:pStyle w:val="28"/>
        <w:spacing w:before="120" w:after="120" w:line="360" w:lineRule="auto"/>
        <w:ind w:firstLine="420"/>
        <w:rPr>
          <w:rFonts w:hint="eastAsia" w:hAnsi="宋体" w:cs="宋体"/>
        </w:rPr>
      </w:pPr>
      <w:r>
        <w:rPr>
          <w:rFonts w:hint="eastAsia" w:hAnsi="宋体" w:cs="宋体"/>
        </w:rPr>
        <w:t>13.1 甲方对乙方提交的货物及服务依据采购文件上的技术规格要求和国家有关质量标准进行现场初步验收，外观、说明书符合采购文件技术要求的，给予签收，初步验收不合格的不予签收。交付后，甲方需在五个工作日内验收。</w:t>
      </w:r>
    </w:p>
    <w:p w14:paraId="6DF6262C">
      <w:pPr>
        <w:pStyle w:val="28"/>
        <w:spacing w:before="120" w:after="120" w:line="360" w:lineRule="auto"/>
        <w:ind w:firstLine="420"/>
        <w:rPr>
          <w:rFonts w:hint="eastAsia" w:hAnsi="宋体" w:cs="宋体"/>
        </w:rPr>
      </w:pPr>
      <w:r>
        <w:rPr>
          <w:rFonts w:hint="eastAsia" w:hAnsi="宋体" w:cs="宋体"/>
        </w:rPr>
        <w:t>13.2 乙方交付前应对货物及服务作出全面检查和对验收文件进行整理，并列出清单，作为甲方交付验收和使用的技术条件依据，检验的结果应随货物及服务交甲方。</w:t>
      </w:r>
    </w:p>
    <w:p w14:paraId="17235747">
      <w:pPr>
        <w:pStyle w:val="28"/>
        <w:spacing w:before="120" w:after="120" w:line="360" w:lineRule="auto"/>
        <w:ind w:firstLine="420"/>
        <w:rPr>
          <w:rFonts w:hint="eastAsia" w:hAnsi="宋体" w:cs="宋体"/>
        </w:rPr>
      </w:pPr>
      <w:r>
        <w:rPr>
          <w:rFonts w:hint="eastAsia" w:hAnsi="宋体" w:cs="宋体"/>
        </w:rPr>
        <w:t>13.3 甲方对乙方提供的货物及服务在使用前进行调试时，乙方需负责安装并培训甲方的使用操作人员，并协助甲方一起调试，直到符合技术要求，甲方才做最终验收。</w:t>
      </w:r>
    </w:p>
    <w:p w14:paraId="41D80AD8">
      <w:pPr>
        <w:pStyle w:val="28"/>
        <w:spacing w:before="120" w:after="120" w:line="360" w:lineRule="auto"/>
        <w:ind w:firstLine="420"/>
        <w:rPr>
          <w:rFonts w:hint="eastAsia" w:hAnsi="宋体" w:cs="宋体"/>
        </w:rPr>
      </w:pPr>
      <w:r>
        <w:rPr>
          <w:rFonts w:hint="eastAsia" w:hAnsi="宋体" w:cs="宋体"/>
        </w:rPr>
        <w:t>13.4 对技术复杂的货物及服务，甲方可请国家认可的专业检测机构参与初步验收及最终验收，并由其出具质量检测报告。</w:t>
      </w:r>
    </w:p>
    <w:p w14:paraId="1824E852">
      <w:pPr>
        <w:pStyle w:val="28"/>
        <w:spacing w:before="120" w:after="120" w:line="360" w:lineRule="auto"/>
        <w:ind w:firstLine="420"/>
        <w:rPr>
          <w:rFonts w:hint="eastAsia" w:hAnsi="宋体" w:cs="宋体"/>
        </w:rPr>
      </w:pPr>
      <w:r>
        <w:rPr>
          <w:rFonts w:hint="eastAsia" w:hAnsi="宋体" w:cs="宋体"/>
        </w:rPr>
        <w:t>13.5 验收时乙方必须在现场，验收完毕后作出验收结果报告；验收费用由甲乙双方协商解决。</w:t>
      </w:r>
    </w:p>
    <w:p w14:paraId="5AF16230">
      <w:pPr>
        <w:pStyle w:val="28"/>
        <w:spacing w:before="120" w:after="120" w:line="360" w:lineRule="auto"/>
        <w:ind w:firstLine="422"/>
        <w:rPr>
          <w:rFonts w:hint="eastAsia" w:hAnsi="宋体" w:cs="宋体"/>
          <w:b/>
          <w:bCs/>
        </w:rPr>
      </w:pPr>
      <w:r>
        <w:rPr>
          <w:rFonts w:hint="eastAsia" w:hAnsi="宋体" w:cs="宋体"/>
          <w:b/>
          <w:bCs/>
        </w:rPr>
        <w:t>十四、货物及服务包装、发运及运输</w:t>
      </w:r>
    </w:p>
    <w:p w14:paraId="7950A174">
      <w:pPr>
        <w:pStyle w:val="28"/>
        <w:spacing w:before="120" w:after="120" w:line="360" w:lineRule="auto"/>
        <w:ind w:firstLine="420"/>
        <w:rPr>
          <w:rFonts w:hint="eastAsia" w:hAnsi="宋体" w:cs="宋体"/>
        </w:rPr>
      </w:pPr>
      <w:r>
        <w:rPr>
          <w:rFonts w:hint="eastAsia" w:hAnsi="宋体" w:cs="宋体"/>
        </w:rPr>
        <w:t>14.1 乙方应在货物及服务发运前对其进行满足运输距离、防潮、防震、防锈和防破损装卸等要求包装，以保证货物及服务安全运达甲方指定地点。</w:t>
      </w:r>
    </w:p>
    <w:p w14:paraId="254ECD10">
      <w:pPr>
        <w:pStyle w:val="28"/>
        <w:spacing w:before="120" w:after="120" w:line="360" w:lineRule="auto"/>
        <w:ind w:firstLine="420"/>
        <w:rPr>
          <w:rFonts w:hint="eastAsia" w:hAnsi="宋体" w:cs="宋体"/>
        </w:rPr>
      </w:pPr>
      <w:r>
        <w:rPr>
          <w:rFonts w:hint="eastAsia" w:hAnsi="宋体" w:cs="宋体"/>
        </w:rPr>
        <w:t>14.2 使用说明书、质量检验证明书、随配附件和工具以及清单一并交付甲方。</w:t>
      </w:r>
    </w:p>
    <w:p w14:paraId="5B1DA445">
      <w:pPr>
        <w:pStyle w:val="28"/>
        <w:spacing w:before="120" w:after="120" w:line="360" w:lineRule="auto"/>
        <w:ind w:firstLine="420"/>
        <w:rPr>
          <w:rFonts w:hint="eastAsia" w:hAnsi="宋体" w:cs="宋体"/>
        </w:rPr>
      </w:pPr>
      <w:r>
        <w:rPr>
          <w:rFonts w:hint="eastAsia" w:hAnsi="宋体" w:cs="宋体"/>
        </w:rPr>
        <w:t>14.3 乙方在货物及服务发运手续办理完毕后24小时内或交付到甲方48小时前通知甲方，以准备接受交付。</w:t>
      </w:r>
    </w:p>
    <w:p w14:paraId="1B33D385">
      <w:pPr>
        <w:pStyle w:val="28"/>
        <w:spacing w:before="120" w:after="120" w:line="360" w:lineRule="auto"/>
        <w:ind w:firstLine="420"/>
        <w:rPr>
          <w:rFonts w:hint="eastAsia" w:hAnsi="宋体" w:cs="宋体"/>
        </w:rPr>
      </w:pPr>
      <w:r>
        <w:rPr>
          <w:rFonts w:hint="eastAsia" w:hAnsi="宋体" w:cs="宋体"/>
        </w:rPr>
        <w:t>14.4 货物在交付甲方前发生的风险均由乙方负责。</w:t>
      </w:r>
    </w:p>
    <w:p w14:paraId="2E4650BC">
      <w:pPr>
        <w:pStyle w:val="28"/>
        <w:spacing w:before="120" w:after="120" w:line="360" w:lineRule="auto"/>
        <w:ind w:firstLine="420"/>
        <w:rPr>
          <w:rFonts w:hint="eastAsia" w:hAnsi="宋体" w:cs="宋体"/>
        </w:rPr>
      </w:pPr>
      <w:r>
        <w:rPr>
          <w:rFonts w:hint="eastAsia" w:hAnsi="宋体" w:cs="宋体"/>
        </w:rPr>
        <w:t>14.5 货物及服务在规定的交付期限内由乙方送达甲方指定的地点视为交付，乙方同时需通知甲方货物及服务已送达。</w:t>
      </w:r>
    </w:p>
    <w:p w14:paraId="5A9417B5">
      <w:pPr>
        <w:pStyle w:val="28"/>
        <w:spacing w:before="120" w:after="120" w:line="360" w:lineRule="auto"/>
        <w:ind w:firstLine="422"/>
        <w:rPr>
          <w:rFonts w:hint="eastAsia" w:hAnsi="宋体" w:cs="宋体"/>
          <w:b/>
          <w:bCs/>
        </w:rPr>
      </w:pPr>
      <w:r>
        <w:rPr>
          <w:rFonts w:hint="eastAsia" w:hAnsi="宋体" w:cs="宋体"/>
          <w:b/>
          <w:bCs/>
        </w:rPr>
        <w:t>十五、违约责任</w:t>
      </w:r>
    </w:p>
    <w:p w14:paraId="7E5E6BAB">
      <w:pPr>
        <w:pStyle w:val="28"/>
        <w:spacing w:before="120" w:after="120" w:line="360" w:lineRule="auto"/>
        <w:ind w:firstLine="420"/>
        <w:rPr>
          <w:rFonts w:hint="eastAsia" w:hAnsi="宋体" w:cs="宋体"/>
        </w:rPr>
      </w:pPr>
      <w:r>
        <w:rPr>
          <w:rFonts w:hint="eastAsia" w:hAnsi="宋体" w:cs="宋体"/>
        </w:rPr>
        <w:t>15.1 甲方无正当理由拒收货物及服务的，甲方向乙方偿付拒收款项总值的百分之五违约金。</w:t>
      </w:r>
    </w:p>
    <w:p w14:paraId="07557510">
      <w:pPr>
        <w:pStyle w:val="28"/>
        <w:spacing w:before="120" w:after="120" w:line="360" w:lineRule="auto"/>
        <w:ind w:firstLine="420"/>
        <w:rPr>
          <w:rFonts w:hint="eastAsia" w:hAnsi="宋体" w:cs="宋体"/>
        </w:rPr>
      </w:pPr>
      <w:r>
        <w:rPr>
          <w:rFonts w:hint="eastAsia" w:hAnsi="宋体" w:cs="宋体"/>
        </w:rPr>
        <w:t>15.2 甲方无故逾期验收和办理款项支付手续的,甲方应按逾期付款总额每日万分之五向乙方支付违约金。</w:t>
      </w:r>
    </w:p>
    <w:p w14:paraId="747896B0">
      <w:pPr>
        <w:pStyle w:val="28"/>
        <w:spacing w:before="120" w:after="120" w:line="360" w:lineRule="auto"/>
        <w:ind w:firstLine="420"/>
        <w:rPr>
          <w:rFonts w:hint="eastAsia" w:hAnsi="宋体" w:cs="宋体"/>
        </w:rPr>
      </w:pPr>
      <w:r>
        <w:rPr>
          <w:rFonts w:hint="eastAsia" w:hAnsi="宋体" w:cs="宋体"/>
        </w:rPr>
        <w:t>15.3 乙方逾期交付货物及服务的，乙方应按逾期交付总额每日千分之六向甲方支付违约金，由甲方从待付款项中扣除。逾期超过约定日期10个工作日不能交付的，甲方可解除本合同。乙方因逾期交付或因其他违约行为导致甲方解除合同的，乙方应向甲方支付合同总值5%的违约金，如造成甲方损失超过违约金的，超出部分由乙方继续承担赔偿责任。</w:t>
      </w:r>
    </w:p>
    <w:p w14:paraId="5139E0C3">
      <w:pPr>
        <w:pStyle w:val="28"/>
        <w:spacing w:before="120" w:after="120" w:line="360" w:lineRule="auto"/>
        <w:ind w:firstLine="420"/>
        <w:rPr>
          <w:rFonts w:hint="eastAsia" w:hAnsi="宋体" w:cs="宋体"/>
        </w:rPr>
      </w:pPr>
      <w:r>
        <w:rPr>
          <w:rFonts w:hint="eastAsia" w:hAnsi="宋体" w:cs="宋体"/>
        </w:rPr>
        <w:t>15.4 乙方所交的货物及服务数量、质量不符合合同规定及采购文件规定标准的，甲方有权拒收该货物及服务，乙方愿意更换货物及服务但逾期交付的，按乙方逾期交付处理。乙方拒绝更换货物及服务的，甲方可单方面解除合同。</w:t>
      </w:r>
    </w:p>
    <w:p w14:paraId="34707860">
      <w:pPr>
        <w:pStyle w:val="28"/>
        <w:spacing w:before="120" w:after="120" w:line="360" w:lineRule="auto"/>
        <w:ind w:firstLine="422"/>
        <w:rPr>
          <w:rFonts w:hint="eastAsia" w:hAnsi="宋体" w:cs="宋体"/>
          <w:b/>
          <w:bCs/>
        </w:rPr>
      </w:pPr>
      <w:r>
        <w:rPr>
          <w:rFonts w:hint="eastAsia" w:hAnsi="宋体" w:cs="宋体"/>
          <w:b/>
          <w:bCs/>
        </w:rPr>
        <w:t>十六、不可抗力事件处理</w:t>
      </w:r>
    </w:p>
    <w:p w14:paraId="59C6C50E">
      <w:pPr>
        <w:pStyle w:val="28"/>
        <w:spacing w:before="120" w:after="120" w:line="360" w:lineRule="auto"/>
        <w:ind w:firstLine="420"/>
        <w:rPr>
          <w:rFonts w:hint="eastAsia" w:hAnsi="宋体" w:cs="宋体"/>
        </w:rPr>
      </w:pPr>
      <w:r>
        <w:rPr>
          <w:rFonts w:hint="eastAsia" w:hAnsi="宋体" w:cs="宋体"/>
        </w:rPr>
        <w:t>16.1 在合同有效期内，任何一方因不可抗力事件导致不能履行合同，则合同履行期可延长，其延长期与不可抗力影响期相同。</w:t>
      </w:r>
    </w:p>
    <w:p w14:paraId="39827D2F">
      <w:pPr>
        <w:pStyle w:val="28"/>
        <w:spacing w:before="120" w:after="120" w:line="360" w:lineRule="auto"/>
        <w:ind w:firstLine="420"/>
        <w:rPr>
          <w:rFonts w:hint="eastAsia" w:hAnsi="宋体" w:cs="宋体"/>
        </w:rPr>
      </w:pPr>
      <w:r>
        <w:rPr>
          <w:rFonts w:hint="eastAsia" w:hAnsi="宋体" w:cs="宋体"/>
        </w:rPr>
        <w:t>16.2 不可抗力事件发生后，应立即通知对方，并寄送有关权威机构出具的证明。</w:t>
      </w:r>
    </w:p>
    <w:p w14:paraId="5E093868">
      <w:pPr>
        <w:pStyle w:val="28"/>
        <w:spacing w:before="120" w:after="120" w:line="360" w:lineRule="auto"/>
        <w:ind w:firstLine="420"/>
        <w:rPr>
          <w:rFonts w:hint="eastAsia" w:hAnsi="宋体" w:cs="宋体"/>
        </w:rPr>
      </w:pPr>
      <w:r>
        <w:rPr>
          <w:rFonts w:hint="eastAsia" w:hAnsi="宋体" w:cs="宋体"/>
        </w:rPr>
        <w:t>16.3 不可抗力事件延续120天以上，双方应通过友好协商，确定是否继续履行合同。</w:t>
      </w:r>
    </w:p>
    <w:p w14:paraId="22C5E0CC">
      <w:pPr>
        <w:pStyle w:val="28"/>
        <w:spacing w:before="120" w:after="120" w:line="360" w:lineRule="auto"/>
        <w:ind w:firstLine="422"/>
        <w:rPr>
          <w:rFonts w:hint="eastAsia" w:hAnsi="宋体" w:cs="宋体"/>
          <w:b/>
          <w:bCs/>
        </w:rPr>
      </w:pPr>
      <w:r>
        <w:rPr>
          <w:rFonts w:hint="eastAsia" w:hAnsi="宋体" w:cs="宋体"/>
          <w:b/>
          <w:bCs/>
        </w:rPr>
        <w:t>十七、诉讼</w:t>
      </w:r>
    </w:p>
    <w:p w14:paraId="1C4DC4FC">
      <w:pPr>
        <w:pStyle w:val="28"/>
        <w:spacing w:before="120" w:after="120" w:line="360" w:lineRule="auto"/>
        <w:ind w:firstLine="420"/>
        <w:rPr>
          <w:rFonts w:hint="eastAsia" w:hAnsi="宋体" w:cs="宋体"/>
        </w:rPr>
      </w:pPr>
      <w:r>
        <w:rPr>
          <w:rFonts w:hint="eastAsia" w:hAnsi="宋体" w:cs="宋体"/>
        </w:rPr>
        <w:t>17.1 双方在执行合同中所发生的一切争议，应通过协商解决。如协商不成，可向合同签订地法院起诉，合同签订地在此约定为南京市栖霞区。</w:t>
      </w:r>
    </w:p>
    <w:p w14:paraId="6E8AA6F9">
      <w:pPr>
        <w:pStyle w:val="28"/>
        <w:spacing w:before="120" w:after="120" w:line="360" w:lineRule="auto"/>
        <w:ind w:firstLine="422"/>
        <w:rPr>
          <w:rFonts w:hint="eastAsia" w:hAnsi="宋体" w:cs="宋体"/>
          <w:b/>
          <w:bCs/>
        </w:rPr>
      </w:pPr>
      <w:r>
        <w:rPr>
          <w:rFonts w:hint="eastAsia" w:hAnsi="宋体" w:cs="宋体"/>
          <w:b/>
          <w:bCs/>
        </w:rPr>
        <w:t>十八、合同生效及其它</w:t>
      </w:r>
    </w:p>
    <w:p w14:paraId="58349DD5">
      <w:pPr>
        <w:pStyle w:val="28"/>
        <w:spacing w:before="120" w:after="120" w:line="360" w:lineRule="auto"/>
        <w:ind w:firstLine="420"/>
        <w:rPr>
          <w:rFonts w:hint="eastAsia" w:hAnsi="宋体" w:cs="宋体"/>
        </w:rPr>
      </w:pPr>
      <w:r>
        <w:rPr>
          <w:rFonts w:hint="eastAsia" w:hAnsi="宋体" w:cs="宋体"/>
        </w:rPr>
        <w:t>18.1 合同经双方法定代表人签章并加盖单位公章后生效。</w:t>
      </w:r>
    </w:p>
    <w:p w14:paraId="7597EC7C">
      <w:pPr>
        <w:pStyle w:val="28"/>
        <w:spacing w:before="120" w:after="120" w:line="360" w:lineRule="auto"/>
        <w:ind w:firstLine="420"/>
        <w:rPr>
          <w:rFonts w:hint="eastAsia" w:hAnsi="宋体" w:cs="宋体"/>
        </w:rPr>
      </w:pPr>
      <w:r>
        <w:rPr>
          <w:rFonts w:hint="eastAsia" w:hAnsi="宋体" w:cs="宋体"/>
        </w:rPr>
        <w:t>18.2本合同未尽事宜，遵照《民法典》有关条文执行。</w:t>
      </w:r>
    </w:p>
    <w:p w14:paraId="605857C4">
      <w:pPr>
        <w:pStyle w:val="28"/>
        <w:spacing w:before="120" w:after="120" w:line="360" w:lineRule="auto"/>
        <w:ind w:firstLine="420"/>
        <w:rPr>
          <w:rFonts w:hint="eastAsia" w:hAnsi="宋体" w:cs="宋体"/>
        </w:rPr>
      </w:pPr>
      <w:r>
        <w:rPr>
          <w:rFonts w:hint="eastAsia" w:hAnsi="宋体" w:cs="宋体"/>
        </w:rPr>
        <w:t>19.3 本合同正本一式  份，具有同等法律效力，甲方、乙方各执  份。</w:t>
      </w:r>
    </w:p>
    <w:tbl>
      <w:tblPr>
        <w:tblStyle w:val="58"/>
        <w:tblW w:w="8522" w:type="dxa"/>
        <w:tblInd w:w="135" w:type="dxa"/>
        <w:tblLayout w:type="fixed"/>
        <w:tblCellMar>
          <w:top w:w="0" w:type="dxa"/>
          <w:left w:w="108" w:type="dxa"/>
          <w:bottom w:w="0" w:type="dxa"/>
          <w:right w:w="108" w:type="dxa"/>
        </w:tblCellMar>
      </w:tblPr>
      <w:tblGrid>
        <w:gridCol w:w="4284"/>
        <w:gridCol w:w="4238"/>
      </w:tblGrid>
      <w:tr w14:paraId="2A9CE746">
        <w:tblPrEx>
          <w:tblCellMar>
            <w:top w:w="0" w:type="dxa"/>
            <w:left w:w="108" w:type="dxa"/>
            <w:bottom w:w="0" w:type="dxa"/>
            <w:right w:w="108" w:type="dxa"/>
          </w:tblCellMar>
        </w:tblPrEx>
        <w:tc>
          <w:tcPr>
            <w:tcW w:w="4284" w:type="dxa"/>
          </w:tcPr>
          <w:p w14:paraId="382BEAD2">
            <w:pPr>
              <w:pStyle w:val="28"/>
              <w:spacing w:before="120" w:after="120" w:line="360" w:lineRule="auto"/>
              <w:rPr>
                <w:rFonts w:hint="eastAsia" w:hAnsi="宋体" w:cs="宋体"/>
              </w:rPr>
            </w:pPr>
            <w:r>
              <w:rPr>
                <w:rFonts w:hint="eastAsia" w:hAnsi="宋体" w:cs="宋体"/>
              </w:rPr>
              <w:t>甲方：</w:t>
            </w:r>
          </w:p>
        </w:tc>
        <w:tc>
          <w:tcPr>
            <w:tcW w:w="4238" w:type="dxa"/>
          </w:tcPr>
          <w:p w14:paraId="07DC545B">
            <w:pPr>
              <w:pStyle w:val="28"/>
              <w:spacing w:before="120" w:after="120" w:line="360" w:lineRule="auto"/>
              <w:rPr>
                <w:rFonts w:hint="eastAsia" w:hAnsi="宋体" w:cs="宋体"/>
              </w:rPr>
            </w:pPr>
            <w:r>
              <w:rPr>
                <w:rFonts w:hint="eastAsia" w:hAnsi="宋体" w:cs="宋体"/>
              </w:rPr>
              <w:t>乙方：</w:t>
            </w:r>
          </w:p>
        </w:tc>
      </w:tr>
      <w:tr w14:paraId="7190CABE">
        <w:tblPrEx>
          <w:tblCellMar>
            <w:top w:w="0" w:type="dxa"/>
            <w:left w:w="108" w:type="dxa"/>
            <w:bottom w:w="0" w:type="dxa"/>
            <w:right w:w="108" w:type="dxa"/>
          </w:tblCellMar>
        </w:tblPrEx>
        <w:tc>
          <w:tcPr>
            <w:tcW w:w="4284" w:type="dxa"/>
          </w:tcPr>
          <w:p w14:paraId="60613574">
            <w:pPr>
              <w:pStyle w:val="28"/>
              <w:spacing w:before="120" w:after="120" w:line="360" w:lineRule="auto"/>
              <w:rPr>
                <w:rFonts w:hint="eastAsia" w:hAnsi="宋体" w:cs="宋体"/>
              </w:rPr>
            </w:pPr>
            <w:r>
              <w:rPr>
                <w:rFonts w:hint="eastAsia" w:hAnsi="宋体" w:cs="宋体"/>
              </w:rPr>
              <w:t>地址：</w:t>
            </w:r>
          </w:p>
        </w:tc>
        <w:tc>
          <w:tcPr>
            <w:tcW w:w="4238" w:type="dxa"/>
          </w:tcPr>
          <w:p w14:paraId="0C4C98DB">
            <w:pPr>
              <w:pStyle w:val="28"/>
              <w:spacing w:before="120" w:after="120" w:line="360" w:lineRule="auto"/>
              <w:rPr>
                <w:rFonts w:hint="eastAsia" w:hAnsi="宋体" w:cs="宋体"/>
              </w:rPr>
            </w:pPr>
            <w:r>
              <w:rPr>
                <w:rFonts w:hint="eastAsia" w:hAnsi="宋体" w:cs="宋体"/>
              </w:rPr>
              <w:t>地址：</w:t>
            </w:r>
          </w:p>
        </w:tc>
      </w:tr>
      <w:tr w14:paraId="37AB29C1">
        <w:tblPrEx>
          <w:tblCellMar>
            <w:top w:w="0" w:type="dxa"/>
            <w:left w:w="108" w:type="dxa"/>
            <w:bottom w:w="0" w:type="dxa"/>
            <w:right w:w="108" w:type="dxa"/>
          </w:tblCellMar>
        </w:tblPrEx>
        <w:tc>
          <w:tcPr>
            <w:tcW w:w="4284" w:type="dxa"/>
          </w:tcPr>
          <w:p w14:paraId="5ABEDC46">
            <w:pPr>
              <w:pStyle w:val="28"/>
              <w:spacing w:before="120" w:after="120" w:line="360" w:lineRule="auto"/>
              <w:rPr>
                <w:rFonts w:hint="eastAsia" w:hAnsi="宋体" w:cs="宋体"/>
              </w:rPr>
            </w:pPr>
            <w:r>
              <w:rPr>
                <w:rFonts w:hint="eastAsia" w:hAnsi="宋体" w:cs="宋体"/>
              </w:rPr>
              <w:t>法定代表人或授权代表：</w:t>
            </w:r>
          </w:p>
        </w:tc>
        <w:tc>
          <w:tcPr>
            <w:tcW w:w="4238" w:type="dxa"/>
          </w:tcPr>
          <w:p w14:paraId="67155001">
            <w:pPr>
              <w:pStyle w:val="28"/>
              <w:spacing w:before="120" w:after="120" w:line="360" w:lineRule="auto"/>
              <w:rPr>
                <w:rFonts w:hint="eastAsia" w:hAnsi="宋体" w:cs="宋体"/>
              </w:rPr>
            </w:pPr>
            <w:r>
              <w:rPr>
                <w:rFonts w:hint="eastAsia" w:hAnsi="宋体" w:cs="宋体"/>
              </w:rPr>
              <w:t>法定代表人或授权代表：</w:t>
            </w:r>
          </w:p>
        </w:tc>
      </w:tr>
      <w:tr w14:paraId="40B001C2">
        <w:tblPrEx>
          <w:tblCellMar>
            <w:top w:w="0" w:type="dxa"/>
            <w:left w:w="108" w:type="dxa"/>
            <w:bottom w:w="0" w:type="dxa"/>
            <w:right w:w="108" w:type="dxa"/>
          </w:tblCellMar>
        </w:tblPrEx>
        <w:tc>
          <w:tcPr>
            <w:tcW w:w="4284" w:type="dxa"/>
          </w:tcPr>
          <w:p w14:paraId="3C6DA076">
            <w:pPr>
              <w:pStyle w:val="28"/>
              <w:spacing w:before="120" w:after="120" w:line="360" w:lineRule="auto"/>
              <w:rPr>
                <w:rFonts w:hint="eastAsia" w:hAnsi="宋体" w:cs="宋体"/>
              </w:rPr>
            </w:pPr>
            <w:r>
              <w:rPr>
                <w:rFonts w:hint="eastAsia" w:hAnsi="宋体" w:cs="宋体"/>
              </w:rPr>
              <w:t>联系电话：</w:t>
            </w:r>
          </w:p>
        </w:tc>
        <w:tc>
          <w:tcPr>
            <w:tcW w:w="4238" w:type="dxa"/>
          </w:tcPr>
          <w:p w14:paraId="54B1B66B">
            <w:pPr>
              <w:pStyle w:val="28"/>
              <w:spacing w:before="120" w:after="120" w:line="360" w:lineRule="auto"/>
              <w:rPr>
                <w:rFonts w:hint="eastAsia" w:hAnsi="宋体" w:cs="宋体"/>
              </w:rPr>
            </w:pPr>
            <w:r>
              <w:rPr>
                <w:rFonts w:hint="eastAsia" w:hAnsi="宋体" w:cs="宋体"/>
              </w:rPr>
              <w:t>联系电话：</w:t>
            </w:r>
          </w:p>
        </w:tc>
      </w:tr>
      <w:tr w14:paraId="6659D1FE">
        <w:tblPrEx>
          <w:tblCellMar>
            <w:top w:w="0" w:type="dxa"/>
            <w:left w:w="108" w:type="dxa"/>
            <w:bottom w:w="0" w:type="dxa"/>
            <w:right w:w="108" w:type="dxa"/>
          </w:tblCellMar>
        </w:tblPrEx>
        <w:tc>
          <w:tcPr>
            <w:tcW w:w="4284" w:type="dxa"/>
          </w:tcPr>
          <w:p w14:paraId="3B4055FB">
            <w:pPr>
              <w:pStyle w:val="28"/>
              <w:spacing w:before="120" w:after="120" w:line="360" w:lineRule="auto"/>
              <w:rPr>
                <w:rFonts w:hint="eastAsia" w:hAnsi="宋体" w:cs="宋体"/>
              </w:rPr>
            </w:pPr>
            <w:r>
              <w:rPr>
                <w:rFonts w:hint="eastAsia" w:hAnsi="宋体" w:cs="宋体"/>
              </w:rPr>
              <w:t>日期：2024年  月  日</w:t>
            </w:r>
          </w:p>
        </w:tc>
        <w:tc>
          <w:tcPr>
            <w:tcW w:w="4238" w:type="dxa"/>
          </w:tcPr>
          <w:p w14:paraId="2E2F443E">
            <w:pPr>
              <w:pStyle w:val="28"/>
              <w:spacing w:before="120" w:after="120" w:line="360" w:lineRule="auto"/>
              <w:rPr>
                <w:rFonts w:hint="eastAsia" w:hAnsi="宋体" w:cs="宋体"/>
              </w:rPr>
            </w:pPr>
            <w:r>
              <w:rPr>
                <w:rFonts w:hint="eastAsia" w:hAnsi="宋体" w:cs="宋体"/>
              </w:rPr>
              <w:t>日期：   年  月  日</w:t>
            </w:r>
          </w:p>
        </w:tc>
      </w:tr>
    </w:tbl>
    <w:p w14:paraId="1ED9E474">
      <w:pPr>
        <w:rPr>
          <w:rFonts w:hint="eastAsia" w:ascii="宋体" w:hAnsi="宋体" w:eastAsia="宋体" w:cs="宋体"/>
          <w:b/>
          <w:bCs/>
          <w:kern w:val="0"/>
          <w:sz w:val="24"/>
          <w:szCs w:val="24"/>
        </w:rPr>
      </w:pPr>
    </w:p>
    <w:p w14:paraId="281DEE30">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13" w:name="_Toc179553572"/>
      <w:r>
        <w:rPr>
          <w:rFonts w:hint="eastAsia" w:ascii="宋体" w:hAnsi="宋体" w:eastAsia="宋体" w:cs="宋体"/>
          <w:b/>
          <w:bCs/>
          <w:kern w:val="0"/>
          <w:sz w:val="36"/>
          <w:szCs w:val="36"/>
        </w:rPr>
        <w:t>第六章  投标文件格式</w:t>
      </w:r>
      <w:bookmarkEnd w:id="13"/>
    </w:p>
    <w:p w14:paraId="1F477C2F">
      <w:pPr>
        <w:tabs>
          <w:tab w:val="left" w:pos="1788"/>
        </w:tabs>
        <w:rPr>
          <w:rFonts w:hint="eastAsia" w:ascii="宋体" w:hAnsi="宋体" w:eastAsia="宋体" w:cs="Times New Roman"/>
          <w:b/>
          <w:bCs/>
          <w:sz w:val="48"/>
          <w:szCs w:val="52"/>
        </w:rPr>
      </w:pPr>
    </w:p>
    <w:p w14:paraId="1473DB43">
      <w:pPr>
        <w:tabs>
          <w:tab w:val="left" w:pos="1788"/>
        </w:tabs>
        <w:jc w:val="center"/>
        <w:rPr>
          <w:rFonts w:hint="eastAsia" w:ascii="宋体" w:hAnsi="宋体" w:eastAsia="宋体" w:cs="Times New Roman"/>
          <w:b/>
          <w:bCs/>
        </w:rPr>
      </w:pPr>
    </w:p>
    <w:p w14:paraId="3BAF580E">
      <w:pPr>
        <w:jc w:val="center"/>
        <w:rPr>
          <w:rFonts w:ascii="Calibri" w:hAnsi="Calibri" w:eastAsia="宋体" w:cs="Times New Roman"/>
        </w:rPr>
      </w:pPr>
    </w:p>
    <w:p w14:paraId="50D1EC33">
      <w:pPr>
        <w:jc w:val="center"/>
        <w:rPr>
          <w:rFonts w:ascii="Calibri" w:hAnsi="Calibri" w:eastAsia="宋体" w:cs="Times New Roman"/>
          <w:sz w:val="28"/>
          <w:szCs w:val="28"/>
        </w:rPr>
      </w:pPr>
      <w:r>
        <w:rPr>
          <w:rFonts w:hint="eastAsia" w:ascii="Calibri" w:hAnsi="Calibri" w:eastAsia="宋体" w:cs="Times New Roman"/>
          <w:sz w:val="28"/>
          <w:szCs w:val="28"/>
        </w:rPr>
        <w:t>（封      面）</w:t>
      </w:r>
    </w:p>
    <w:p w14:paraId="205F3593">
      <w:pPr>
        <w:spacing w:line="264" w:lineRule="auto"/>
        <w:jc w:val="center"/>
        <w:rPr>
          <w:rFonts w:hint="eastAsia" w:ascii="宋体" w:hAnsi="宋体" w:eastAsia="宋体" w:cs="金山简魏碑"/>
          <w:sz w:val="36"/>
          <w:szCs w:val="21"/>
        </w:rPr>
      </w:pPr>
    </w:p>
    <w:p w14:paraId="7F970218">
      <w:pPr>
        <w:spacing w:line="264" w:lineRule="auto"/>
        <w:jc w:val="center"/>
        <w:rPr>
          <w:rFonts w:hint="eastAsia" w:ascii="宋体" w:hAnsi="宋体" w:eastAsia="宋体" w:cs="金山简魏碑"/>
          <w:sz w:val="44"/>
          <w:szCs w:val="21"/>
        </w:rPr>
      </w:pPr>
      <w:r>
        <w:rPr>
          <w:rFonts w:hint="eastAsia" w:ascii="宋体" w:hAnsi="宋体" w:eastAsia="宋体" w:cs="金山简魏碑"/>
          <w:sz w:val="36"/>
          <w:szCs w:val="21"/>
        </w:rPr>
        <w:t>__________________________________</w:t>
      </w:r>
      <w:r>
        <w:rPr>
          <w:rFonts w:hint="eastAsia" w:ascii="宋体" w:hAnsi="宋体" w:eastAsia="宋体" w:cs="金山简魏碑"/>
          <w:sz w:val="44"/>
          <w:szCs w:val="21"/>
        </w:rPr>
        <w:t>项目</w:t>
      </w:r>
    </w:p>
    <w:p w14:paraId="5F384DAD">
      <w:pPr>
        <w:spacing w:line="264" w:lineRule="auto"/>
        <w:jc w:val="center"/>
        <w:rPr>
          <w:rFonts w:hint="eastAsia" w:ascii="宋体" w:hAnsi="宋体" w:eastAsia="宋体" w:cs="金山简魏碑"/>
          <w:sz w:val="36"/>
          <w:szCs w:val="21"/>
        </w:rPr>
      </w:pPr>
    </w:p>
    <w:p w14:paraId="0E08C28A">
      <w:pPr>
        <w:spacing w:line="264" w:lineRule="auto"/>
        <w:jc w:val="center"/>
        <w:rPr>
          <w:rFonts w:hint="eastAsia" w:ascii="宋体" w:hAnsi="宋体" w:eastAsia="宋体" w:cs="金山简魏碑"/>
          <w:sz w:val="36"/>
          <w:szCs w:val="21"/>
        </w:rPr>
      </w:pPr>
    </w:p>
    <w:p w14:paraId="011BCFB3">
      <w:pPr>
        <w:spacing w:line="264" w:lineRule="auto"/>
        <w:jc w:val="center"/>
        <w:rPr>
          <w:rFonts w:hint="eastAsia" w:ascii="宋体" w:hAnsi="宋体" w:eastAsia="宋体" w:cs="金山简魏碑"/>
          <w:b/>
          <w:sz w:val="84"/>
          <w:szCs w:val="21"/>
        </w:rPr>
      </w:pPr>
      <w:r>
        <w:rPr>
          <w:rFonts w:hint="eastAsia" w:ascii="宋体" w:hAnsi="宋体" w:eastAsia="宋体" w:cs="金山简魏碑"/>
          <w:b/>
          <w:sz w:val="84"/>
          <w:szCs w:val="21"/>
        </w:rPr>
        <w:t>投标文件</w:t>
      </w:r>
    </w:p>
    <w:p w14:paraId="22FBB5E9">
      <w:pPr>
        <w:spacing w:line="264" w:lineRule="auto"/>
        <w:jc w:val="center"/>
        <w:rPr>
          <w:rFonts w:hint="eastAsia" w:ascii="宋体" w:hAnsi="宋体" w:eastAsia="宋体" w:cs="金山简魏碑"/>
          <w:sz w:val="28"/>
          <w:szCs w:val="21"/>
        </w:rPr>
      </w:pPr>
    </w:p>
    <w:p w14:paraId="2D7E61BF">
      <w:pPr>
        <w:spacing w:line="264" w:lineRule="auto"/>
        <w:jc w:val="center"/>
        <w:rPr>
          <w:rFonts w:hint="eastAsia" w:ascii="宋体" w:hAnsi="宋体" w:eastAsia="宋体" w:cs="金山简魏碑"/>
          <w:sz w:val="72"/>
          <w:szCs w:val="21"/>
        </w:rPr>
      </w:pPr>
    </w:p>
    <w:p w14:paraId="6478A0E8">
      <w:pPr>
        <w:spacing w:line="264" w:lineRule="auto"/>
        <w:jc w:val="center"/>
        <w:rPr>
          <w:rFonts w:hint="eastAsia" w:ascii="宋体" w:hAnsi="宋体" w:eastAsia="宋体" w:cs="金山简魏碑"/>
          <w:sz w:val="72"/>
          <w:szCs w:val="21"/>
        </w:rPr>
      </w:pPr>
    </w:p>
    <w:p w14:paraId="02C1D58A">
      <w:pPr>
        <w:spacing w:line="264" w:lineRule="auto"/>
        <w:rPr>
          <w:rFonts w:hint="eastAsia" w:ascii="宋体" w:hAnsi="宋体" w:eastAsia="宋体" w:cs="金山简魏碑"/>
          <w:sz w:val="72"/>
          <w:szCs w:val="21"/>
        </w:rPr>
      </w:pPr>
    </w:p>
    <w:p w14:paraId="6129C47B">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投标人（盖章）:</w:t>
      </w:r>
    </w:p>
    <w:p w14:paraId="1A63891E">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法定代表人或委托代理人（签字或盖章）:</w:t>
      </w:r>
    </w:p>
    <w:p w14:paraId="778FF3A0">
      <w:pPr>
        <w:ind w:firstLine="600" w:firstLineChars="200"/>
        <w:rPr>
          <w:rFonts w:hint="eastAsia" w:ascii="宋体" w:hAnsi="宋体" w:eastAsia="宋体" w:cs="Times New Roman"/>
          <w:sz w:val="30"/>
        </w:rPr>
      </w:pPr>
      <w:r>
        <w:rPr>
          <w:rFonts w:hint="eastAsia" w:ascii="宋体" w:hAnsi="宋体" w:eastAsia="宋体" w:cs="Times New Roman"/>
          <w:sz w:val="30"/>
        </w:rPr>
        <w:t>日   期：__________年__________月____________日</w:t>
      </w:r>
    </w:p>
    <w:p w14:paraId="68823603">
      <w:pPr>
        <w:ind w:firstLine="600" w:firstLineChars="200"/>
        <w:rPr>
          <w:rFonts w:hint="eastAsia" w:ascii="宋体" w:hAnsi="宋体" w:eastAsia="宋体" w:cs="Times New Roman"/>
          <w:sz w:val="30"/>
        </w:rPr>
      </w:pPr>
    </w:p>
    <w:p w14:paraId="665EF8B7">
      <w:pPr>
        <w:ind w:firstLine="600" w:firstLineChars="200"/>
        <w:rPr>
          <w:rFonts w:hint="eastAsia" w:ascii="宋体" w:hAnsi="宋体" w:eastAsia="宋体" w:cs="Times New Roman"/>
          <w:sz w:val="30"/>
        </w:rPr>
      </w:pPr>
    </w:p>
    <w:p w14:paraId="64786656">
      <w:pPr>
        <w:rPr>
          <w:rFonts w:hint="eastAsia" w:ascii="宋体" w:hAnsi="宋体" w:eastAsia="宋体" w:cs="Times New Roman"/>
          <w:sz w:val="30"/>
        </w:rPr>
      </w:pPr>
    </w:p>
    <w:p w14:paraId="79FAD39F">
      <w:pPr>
        <w:rPr>
          <w:rFonts w:hint="eastAsia" w:ascii="宋体" w:hAnsi="宋体" w:eastAsia="宋体" w:cs="Times New Roman"/>
          <w:sz w:val="30"/>
        </w:rPr>
      </w:pPr>
    </w:p>
    <w:p w14:paraId="2695678F">
      <w:pPr>
        <w:jc w:val="left"/>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附件一：投标函</w:t>
      </w:r>
    </w:p>
    <w:p w14:paraId="4CB2A8E6">
      <w:pPr>
        <w:jc w:val="center"/>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投标函</w:t>
      </w:r>
    </w:p>
    <w:p w14:paraId="7D06521F">
      <w:pPr>
        <w:spacing w:line="360" w:lineRule="auto"/>
        <w:rPr>
          <w:rFonts w:hint="eastAsia" w:ascii="宋体" w:hAnsi="宋体" w:eastAsia="宋体" w:cs="Times New Roman"/>
          <w:sz w:val="24"/>
          <w:szCs w:val="24"/>
        </w:rPr>
      </w:pPr>
      <w:bookmarkStart w:id="14" w:name="_Toc25030884"/>
      <w:r>
        <w:rPr>
          <w:rFonts w:hint="eastAsia" w:ascii="宋体" w:hAnsi="宋体" w:eastAsia="宋体" w:cs="Times New Roman"/>
          <w:sz w:val="24"/>
          <w:szCs w:val="24"/>
        </w:rPr>
        <w:t>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（招标人名称）</w:t>
      </w:r>
    </w:p>
    <w:p w14:paraId="768975E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根据贵方</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项目的磋商邀请，签字代表</w:t>
      </w:r>
      <w:r>
        <w:rPr>
          <w:rFonts w:hint="eastAsia" w:ascii="宋体" w:hAnsi="宋体" w:eastAsia="宋体" w:cs="Times New Roman"/>
          <w:sz w:val="24"/>
          <w:szCs w:val="24"/>
          <w:u w:val="single"/>
        </w:rPr>
        <w:t>（姓名、职务）</w:t>
      </w:r>
      <w:r>
        <w:rPr>
          <w:rFonts w:hint="eastAsia" w:ascii="宋体" w:hAnsi="宋体" w:eastAsia="宋体" w:cs="Times New Roman"/>
          <w:sz w:val="24"/>
          <w:szCs w:val="24"/>
        </w:rPr>
        <w:t>经正式授权并代表投标人</w:t>
      </w:r>
      <w:r>
        <w:rPr>
          <w:rFonts w:hint="eastAsia" w:ascii="宋体" w:hAnsi="宋体" w:eastAsia="宋体" w:cs="Times New Roman"/>
          <w:sz w:val="24"/>
          <w:szCs w:val="24"/>
          <w:u w:val="single"/>
        </w:rPr>
        <w:t>（投标人名称、地址）</w:t>
      </w:r>
      <w:r>
        <w:rPr>
          <w:rFonts w:hint="eastAsia" w:ascii="宋体" w:hAnsi="宋体" w:eastAsia="宋体" w:cs="Times New Roman"/>
          <w:sz w:val="24"/>
          <w:szCs w:val="24"/>
        </w:rPr>
        <w:t>提交投标文件正本一份及副本贰份：</w:t>
      </w:r>
    </w:p>
    <w:p w14:paraId="127D2ED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据此函，签字代表宣布同意如下：</w:t>
      </w:r>
    </w:p>
    <w:p w14:paraId="677B5ED9">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1、所附投标报价表中规定的应提交投标总价（大写）：</w:t>
      </w:r>
      <w:r>
        <w:rPr>
          <w:rFonts w:hint="eastAsia" w:ascii="宋体" w:hAnsi="宋体" w:eastAsia="宋体" w:cs="Times New Roman"/>
          <w:b/>
          <w:sz w:val="24"/>
          <w:szCs w:val="24"/>
          <w:u w:val="single"/>
        </w:rPr>
        <w:t xml:space="preserve">     </w:t>
      </w:r>
      <w:r>
        <w:rPr>
          <w:rFonts w:ascii="宋体" w:hAnsi="宋体" w:eastAsia="宋体" w:cs="Times New Roman"/>
          <w:b/>
          <w:sz w:val="24"/>
          <w:szCs w:val="24"/>
          <w:u w:val="single"/>
        </w:rPr>
        <w:t xml:space="preserve">         </w:t>
      </w:r>
      <w:r>
        <w:rPr>
          <w:rFonts w:hint="eastAsia" w:ascii="宋体" w:hAnsi="宋体" w:eastAsia="宋体" w:cs="Times New Roman"/>
          <w:b/>
          <w:sz w:val="24"/>
          <w:szCs w:val="24"/>
        </w:rPr>
        <w:t>；总价（小写）：</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 xml:space="preserve"> ；交货期：</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；质保期：</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w:t>
      </w:r>
    </w:p>
    <w:p w14:paraId="02F29C21">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2、投标人将按磋商文件的规定履行合同责任和义务。</w:t>
      </w:r>
    </w:p>
    <w:p w14:paraId="305C43A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3、投标人已详细审查全部磋商文件，我们完全理解并同意放弃对这方面有不明及误解的权力。</w:t>
      </w:r>
    </w:p>
    <w:p w14:paraId="5E9D2BB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4、本投标有效期为自开标日起 90个日历天。</w:t>
      </w:r>
    </w:p>
    <w:p w14:paraId="4EA2596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5、如果在规定的开标时间后，投标人在投标有效期内撤回投标，其投标保证金将无须退还。</w:t>
      </w:r>
    </w:p>
    <w:p w14:paraId="454D9DEA">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、在整个竞争性磋商过程中，我方若有违规行为，贵方可按《竞争性磋商文件》规定给予惩罚，我方完全接受。</w:t>
      </w:r>
    </w:p>
    <w:p w14:paraId="4DAFE263">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如果我方成交，我方承诺严格执行双方签订的经济合同，并保证在合同约定的时间内将项目实施完成并验收合格，保证用户正常使用。如果我单位出现不能正常履行合同条款，我方愿意承担由此给采购单位造成的一切损失。</w:t>
      </w:r>
    </w:p>
    <w:p w14:paraId="6F8CDBA2">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、与本投标有关的一切正式往来信函请寄：</w:t>
      </w:r>
    </w:p>
    <w:p w14:paraId="09D2D6BB">
      <w:pPr>
        <w:spacing w:line="360" w:lineRule="auto"/>
        <w:rPr>
          <w:rFonts w:hint="eastAsia" w:ascii="宋体" w:hAnsi="宋体" w:eastAsia="宋体" w:cs="Times New Roman"/>
          <w:sz w:val="24"/>
          <w:szCs w:val="24"/>
        </w:rPr>
      </w:pPr>
    </w:p>
    <w:p w14:paraId="7884879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投标人名称：                      </w:t>
      </w:r>
      <w:r>
        <w:rPr>
          <w:rFonts w:ascii="宋体" w:hAnsi="宋体" w:eastAsia="宋体" w:cs="Times New Roman"/>
          <w:sz w:val="24"/>
          <w:szCs w:val="24"/>
        </w:rPr>
        <w:t xml:space="preserve">   </w:t>
      </w:r>
      <w:r>
        <w:rPr>
          <w:rFonts w:hint="eastAsia" w:ascii="宋体" w:hAnsi="宋体" w:eastAsia="宋体" w:cs="Times New Roman"/>
          <w:sz w:val="24"/>
          <w:szCs w:val="24"/>
        </w:rPr>
        <w:t>（公章）</w:t>
      </w:r>
    </w:p>
    <w:p w14:paraId="0F52ACE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法定代表人或其授权代表：              日   期 ： </w:t>
      </w:r>
    </w:p>
    <w:p w14:paraId="71BF2BD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地址：                                传真 ： </w:t>
      </w:r>
    </w:p>
    <w:p w14:paraId="4E02043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电话：                                电子函件：</w:t>
      </w:r>
    </w:p>
    <w:p w14:paraId="3E67960E">
      <w:pPr>
        <w:spacing w:line="360" w:lineRule="auto"/>
        <w:rPr>
          <w:rFonts w:hint="eastAsia" w:ascii="宋体" w:hAnsi="宋体" w:eastAsia="宋体" w:cs="Times New Roman"/>
          <w:sz w:val="24"/>
          <w:szCs w:val="24"/>
        </w:rPr>
      </w:pPr>
    </w:p>
    <w:p w14:paraId="26F47127">
      <w:pPr>
        <w:spacing w:line="360" w:lineRule="auto"/>
        <w:rPr>
          <w:rFonts w:hint="eastAsia" w:ascii="宋体" w:hAnsi="宋体" w:eastAsia="宋体" w:cs="Times New Roman"/>
          <w:sz w:val="24"/>
          <w:szCs w:val="24"/>
        </w:rPr>
      </w:pPr>
    </w:p>
    <w:p w14:paraId="0AA5A563">
      <w:pPr>
        <w:spacing w:line="360" w:lineRule="auto"/>
        <w:rPr>
          <w:rFonts w:hint="eastAsia" w:ascii="宋体" w:hAnsi="宋体" w:eastAsia="宋体" w:cs="Times New Roman"/>
          <w:sz w:val="24"/>
          <w:szCs w:val="24"/>
        </w:rPr>
      </w:pPr>
    </w:p>
    <w:p w14:paraId="0FC66DA2">
      <w:pPr>
        <w:spacing w:line="360" w:lineRule="auto"/>
        <w:rPr>
          <w:rFonts w:hint="eastAsia" w:ascii="宋体" w:hAnsi="宋体" w:eastAsia="宋体" w:cs="Times New Roman"/>
          <w:sz w:val="24"/>
          <w:szCs w:val="24"/>
        </w:rPr>
      </w:pPr>
    </w:p>
    <w:p w14:paraId="4A6888D6">
      <w:pPr>
        <w:spacing w:line="360" w:lineRule="auto"/>
        <w:rPr>
          <w:rFonts w:hint="eastAsia" w:ascii="宋体" w:hAnsi="宋体" w:eastAsia="宋体" w:cs="Times New Roman"/>
          <w:sz w:val="24"/>
          <w:szCs w:val="24"/>
        </w:rPr>
      </w:pPr>
    </w:p>
    <w:bookmarkEnd w:id="14"/>
    <w:p w14:paraId="2756614B">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附件二、分项报价表</w:t>
      </w:r>
    </w:p>
    <w:p w14:paraId="37DF5523">
      <w:pPr>
        <w:widowControl/>
        <w:adjustRightInd w:val="0"/>
        <w:spacing w:line="240" w:lineRule="atLeast"/>
        <w:rPr>
          <w:rFonts w:hint="eastAsia" w:ascii="宋体" w:hAnsi="宋体" w:eastAsia="宋体" w:cs="宋体"/>
          <w:b/>
          <w:kern w:val="0"/>
          <w:sz w:val="24"/>
          <w:szCs w:val="24"/>
          <w:lang w:val="zh-CN"/>
        </w:rPr>
      </w:pPr>
    </w:p>
    <w:p w14:paraId="15D0A35D">
      <w:pPr>
        <w:spacing w:line="360" w:lineRule="auto"/>
        <w:rPr>
          <w:rFonts w:hint="eastAsia" w:ascii="宋体" w:hAnsi="宋体" w:eastAsia="宋体" w:cs="宋体"/>
          <w:b/>
          <w:bCs/>
          <w:kern w:val="0"/>
          <w:sz w:val="24"/>
          <w:szCs w:val="24"/>
          <w:lang w:val="zh-CN"/>
        </w:rPr>
      </w:pPr>
      <w:r>
        <w:rPr>
          <w:rFonts w:hint="eastAsia" w:ascii="宋体" w:hAnsi="宋体" w:eastAsia="宋体" w:cs="宋体"/>
          <w:bCs/>
          <w:kern w:val="0"/>
          <w:sz w:val="24"/>
          <w:szCs w:val="24"/>
          <w:lang w:val="zh-CN"/>
        </w:rPr>
        <w:t>项目名称：</w:t>
      </w:r>
      <w:r>
        <w:rPr>
          <w:rFonts w:hint="eastAsia" w:ascii="宋体" w:hAnsi="宋体" w:eastAsia="宋体" w:cs="宋体"/>
          <w:b/>
          <w:bCs/>
          <w:kern w:val="0"/>
          <w:sz w:val="24"/>
          <w:szCs w:val="24"/>
          <w:lang w:val="zh-CN"/>
        </w:rPr>
        <w:t xml:space="preserve"> </w:t>
      </w:r>
    </w:p>
    <w:tbl>
      <w:tblPr>
        <w:tblStyle w:val="58"/>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245"/>
        <w:gridCol w:w="4105"/>
        <w:gridCol w:w="851"/>
        <w:gridCol w:w="992"/>
        <w:gridCol w:w="850"/>
        <w:gridCol w:w="850"/>
        <w:gridCol w:w="1277"/>
      </w:tblGrid>
      <w:tr w14:paraId="71AE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shd w:val="clear" w:color="auto" w:fill="auto"/>
            <w:noWrap/>
            <w:vAlign w:val="center"/>
          </w:tcPr>
          <w:p w14:paraId="0017EEB8">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序号</w:t>
            </w:r>
          </w:p>
        </w:tc>
        <w:tc>
          <w:tcPr>
            <w:tcW w:w="1245" w:type="dxa"/>
            <w:shd w:val="clear" w:color="auto" w:fill="auto"/>
            <w:vAlign w:val="center"/>
          </w:tcPr>
          <w:p w14:paraId="312DCAB5">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设备/材料</w:t>
            </w:r>
          </w:p>
        </w:tc>
        <w:tc>
          <w:tcPr>
            <w:tcW w:w="4105" w:type="dxa"/>
            <w:shd w:val="clear" w:color="auto" w:fill="auto"/>
            <w:noWrap/>
            <w:vAlign w:val="center"/>
          </w:tcPr>
          <w:p w14:paraId="44C64EA2">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规格</w:t>
            </w:r>
            <w:r>
              <w:rPr>
                <w:rFonts w:hint="eastAsia" w:ascii="宋体" w:hAnsi="宋体" w:eastAsia="宋体" w:cs="Times New Roman"/>
                <w:b/>
                <w:bCs/>
                <w:kern w:val="0"/>
                <w:sz w:val="24"/>
                <w:szCs w:val="24"/>
              </w:rPr>
              <w:t>要求</w:t>
            </w:r>
          </w:p>
        </w:tc>
        <w:tc>
          <w:tcPr>
            <w:tcW w:w="851" w:type="dxa"/>
            <w:shd w:val="clear" w:color="auto" w:fill="auto"/>
            <w:noWrap/>
            <w:vAlign w:val="center"/>
          </w:tcPr>
          <w:p w14:paraId="06C36BE8">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数量</w:t>
            </w:r>
          </w:p>
        </w:tc>
        <w:tc>
          <w:tcPr>
            <w:tcW w:w="992" w:type="dxa"/>
            <w:shd w:val="clear" w:color="auto" w:fill="auto"/>
            <w:noWrap/>
            <w:vAlign w:val="center"/>
          </w:tcPr>
          <w:p w14:paraId="120F4899">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单位</w:t>
            </w:r>
          </w:p>
        </w:tc>
        <w:tc>
          <w:tcPr>
            <w:tcW w:w="850" w:type="dxa"/>
            <w:vAlign w:val="center"/>
          </w:tcPr>
          <w:p w14:paraId="4FC5910F">
            <w:pPr>
              <w:widowControl/>
              <w:jc w:val="center"/>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单价</w:t>
            </w:r>
          </w:p>
        </w:tc>
        <w:tc>
          <w:tcPr>
            <w:tcW w:w="850" w:type="dxa"/>
            <w:vAlign w:val="center"/>
          </w:tcPr>
          <w:p w14:paraId="22F8C762">
            <w:pPr>
              <w:widowControl/>
              <w:jc w:val="center"/>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合价</w:t>
            </w:r>
          </w:p>
        </w:tc>
        <w:tc>
          <w:tcPr>
            <w:tcW w:w="1277" w:type="dxa"/>
            <w:shd w:val="clear" w:color="auto" w:fill="auto"/>
            <w:noWrap/>
            <w:vAlign w:val="center"/>
          </w:tcPr>
          <w:p w14:paraId="5AF50A6D">
            <w:pPr>
              <w:widowControl/>
              <w:jc w:val="center"/>
              <w:rPr>
                <w:rFonts w:hint="eastAsia" w:ascii="宋体" w:hAnsi="宋体" w:eastAsia="宋体" w:cs="Times New Roman"/>
                <w:b/>
                <w:bCs/>
                <w:kern w:val="0"/>
                <w:sz w:val="24"/>
                <w:szCs w:val="24"/>
              </w:rPr>
            </w:pPr>
            <w:r>
              <w:rPr>
                <w:rFonts w:ascii="宋体" w:hAnsi="宋体" w:eastAsia="宋体" w:cs="Times New Roman"/>
                <w:b/>
                <w:bCs/>
                <w:kern w:val="0"/>
                <w:sz w:val="24"/>
                <w:szCs w:val="24"/>
              </w:rPr>
              <w:t>备注</w:t>
            </w:r>
          </w:p>
          <w:p w14:paraId="6F60DA97">
            <w:pPr>
              <w:widowControl/>
              <w:jc w:val="center"/>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（品牌）</w:t>
            </w:r>
          </w:p>
        </w:tc>
      </w:tr>
      <w:tr w14:paraId="241B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7" w:type="dxa"/>
            <w:shd w:val="clear" w:color="auto" w:fill="auto"/>
            <w:noWrap/>
            <w:vAlign w:val="center"/>
          </w:tcPr>
          <w:p w14:paraId="56D0471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1245" w:type="dxa"/>
            <w:shd w:val="clear" w:color="auto" w:fill="auto"/>
            <w:vAlign w:val="center"/>
          </w:tcPr>
          <w:p w14:paraId="0F43306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高密AP</w:t>
            </w:r>
          </w:p>
        </w:tc>
        <w:tc>
          <w:tcPr>
            <w:tcW w:w="4105" w:type="dxa"/>
            <w:shd w:val="clear" w:color="auto" w:fill="auto"/>
            <w:vAlign w:val="center"/>
          </w:tcPr>
          <w:p w14:paraId="1FA53929">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品牌：H3C</w:t>
            </w:r>
          </w:p>
          <w:p w14:paraId="208EADE4">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型号：H3C WA6530</w:t>
            </w:r>
          </w:p>
          <w:p w14:paraId="1CB1CF0F">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甲供，中标单位负责安装，</w:t>
            </w:r>
            <w:r>
              <w:rPr>
                <w:rFonts w:hint="eastAsia" w:ascii="宋体" w:hAnsi="宋体" w:eastAsia="宋体" w:cs="Times New Roman"/>
                <w:kern w:val="0"/>
                <w:sz w:val="24"/>
                <w:szCs w:val="24"/>
              </w:rPr>
              <w:t>部署</w:t>
            </w:r>
            <w:r>
              <w:rPr>
                <w:rFonts w:ascii="宋体" w:hAnsi="宋体" w:eastAsia="宋体" w:cs="Times New Roman"/>
                <w:kern w:val="0"/>
                <w:sz w:val="24"/>
                <w:szCs w:val="24"/>
              </w:rPr>
              <w:t>，调试，优化</w:t>
            </w:r>
          </w:p>
        </w:tc>
        <w:tc>
          <w:tcPr>
            <w:tcW w:w="851" w:type="dxa"/>
            <w:shd w:val="clear" w:color="auto" w:fill="auto"/>
            <w:noWrap/>
            <w:vAlign w:val="center"/>
          </w:tcPr>
          <w:p w14:paraId="6C61340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25</w:t>
            </w:r>
          </w:p>
        </w:tc>
        <w:tc>
          <w:tcPr>
            <w:tcW w:w="992" w:type="dxa"/>
            <w:shd w:val="clear" w:color="auto" w:fill="auto"/>
            <w:noWrap/>
            <w:vAlign w:val="center"/>
          </w:tcPr>
          <w:p w14:paraId="68152E74">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850" w:type="dxa"/>
            <w:vAlign w:val="center"/>
          </w:tcPr>
          <w:p w14:paraId="5E022DB0">
            <w:pPr>
              <w:widowControl/>
              <w:jc w:val="center"/>
              <w:rPr>
                <w:rFonts w:hint="eastAsia" w:ascii="宋体" w:hAnsi="宋体" w:eastAsia="宋体" w:cs="Times New Roman"/>
                <w:kern w:val="0"/>
                <w:sz w:val="24"/>
                <w:szCs w:val="24"/>
              </w:rPr>
            </w:pPr>
          </w:p>
        </w:tc>
        <w:tc>
          <w:tcPr>
            <w:tcW w:w="850" w:type="dxa"/>
            <w:vAlign w:val="center"/>
          </w:tcPr>
          <w:p w14:paraId="225AD43E">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0FA4108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甲供</w:t>
            </w:r>
          </w:p>
        </w:tc>
      </w:tr>
      <w:tr w14:paraId="142F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shd w:val="clear" w:color="auto" w:fill="auto"/>
            <w:noWrap/>
            <w:vAlign w:val="center"/>
          </w:tcPr>
          <w:p w14:paraId="58B19D5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w:t>
            </w:r>
          </w:p>
        </w:tc>
        <w:tc>
          <w:tcPr>
            <w:tcW w:w="1245" w:type="dxa"/>
            <w:shd w:val="clear" w:color="auto" w:fill="auto"/>
            <w:vAlign w:val="center"/>
          </w:tcPr>
          <w:p w14:paraId="30EDE03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多媒体箱（单开门）</w:t>
            </w:r>
          </w:p>
        </w:tc>
        <w:tc>
          <w:tcPr>
            <w:tcW w:w="4105" w:type="dxa"/>
            <w:shd w:val="clear" w:color="auto" w:fill="auto"/>
            <w:vAlign w:val="center"/>
          </w:tcPr>
          <w:p w14:paraId="30C0182B">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尺寸：≤370*420*110mm （高*宽*深）；支持ONU设备端口向下壁挂安装</w:t>
            </w:r>
          </w:p>
          <w:p w14:paraId="546BF034">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甲供，中标单位负责安装，</w:t>
            </w:r>
            <w:r>
              <w:rPr>
                <w:rFonts w:hint="eastAsia" w:ascii="宋体" w:hAnsi="宋体" w:eastAsia="宋体" w:cs="Times New Roman"/>
                <w:kern w:val="0"/>
                <w:sz w:val="24"/>
                <w:szCs w:val="24"/>
              </w:rPr>
              <w:t>部署</w:t>
            </w:r>
          </w:p>
        </w:tc>
        <w:tc>
          <w:tcPr>
            <w:tcW w:w="851" w:type="dxa"/>
            <w:shd w:val="clear" w:color="auto" w:fill="auto"/>
            <w:noWrap/>
            <w:vAlign w:val="center"/>
          </w:tcPr>
          <w:p w14:paraId="4BEAD8C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10</w:t>
            </w:r>
          </w:p>
        </w:tc>
        <w:tc>
          <w:tcPr>
            <w:tcW w:w="992" w:type="dxa"/>
            <w:shd w:val="clear" w:color="auto" w:fill="auto"/>
            <w:noWrap/>
            <w:vAlign w:val="center"/>
          </w:tcPr>
          <w:p w14:paraId="0B8B14A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850" w:type="dxa"/>
          </w:tcPr>
          <w:p w14:paraId="490DEB1F">
            <w:pPr>
              <w:widowControl/>
              <w:jc w:val="center"/>
              <w:rPr>
                <w:rFonts w:hint="eastAsia" w:ascii="宋体" w:hAnsi="宋体" w:eastAsia="宋体" w:cs="Times New Roman"/>
                <w:kern w:val="0"/>
                <w:sz w:val="24"/>
                <w:szCs w:val="24"/>
              </w:rPr>
            </w:pPr>
          </w:p>
        </w:tc>
        <w:tc>
          <w:tcPr>
            <w:tcW w:w="850" w:type="dxa"/>
          </w:tcPr>
          <w:p w14:paraId="6EA01179">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71A2F8C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甲供</w:t>
            </w:r>
          </w:p>
        </w:tc>
      </w:tr>
      <w:tr w14:paraId="693C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vMerge w:val="restart"/>
            <w:shd w:val="clear" w:color="auto" w:fill="auto"/>
            <w:noWrap/>
            <w:vAlign w:val="center"/>
          </w:tcPr>
          <w:p w14:paraId="7970A67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w:t>
            </w:r>
          </w:p>
        </w:tc>
        <w:tc>
          <w:tcPr>
            <w:tcW w:w="1245" w:type="dxa"/>
            <w:vMerge w:val="restart"/>
            <w:shd w:val="clear" w:color="auto" w:fill="auto"/>
            <w:vAlign w:val="center"/>
          </w:tcPr>
          <w:p w14:paraId="71AE16D0">
            <w:pPr>
              <w:widowControl/>
              <w:jc w:val="center"/>
              <w:rPr>
                <w:rFonts w:hint="eastAsia"/>
                <w:color w:val="000000"/>
                <w:szCs w:val="21"/>
              </w:rPr>
            </w:pPr>
            <w:r>
              <w:rPr>
                <w:rFonts w:hint="eastAsia"/>
                <w:color w:val="000000"/>
                <w:szCs w:val="21"/>
              </w:rPr>
              <w:t>▲</w:t>
            </w:r>
          </w:p>
          <w:p w14:paraId="3EAE1AC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面板AP</w:t>
            </w:r>
          </w:p>
        </w:tc>
        <w:tc>
          <w:tcPr>
            <w:tcW w:w="4105" w:type="dxa"/>
            <w:shd w:val="clear" w:color="auto" w:fill="auto"/>
            <w:vAlign w:val="center"/>
          </w:tcPr>
          <w:p w14:paraId="38462FD1">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整机要求：采用双射频设计，整机4条空间流，最高协商速率≥2.975Gbps，≥1个GE电接口（上行），≥2个GE电接口（下行）。所有射频均支持802.11ax协议标准</w:t>
            </w:r>
            <w:r>
              <w:rPr>
                <w:rFonts w:hint="eastAsia" w:ascii="宋体" w:hAnsi="宋体" w:eastAsia="宋体" w:cs="Times New Roman"/>
                <w:kern w:val="0"/>
                <w:sz w:val="24"/>
                <w:szCs w:val="24"/>
              </w:rPr>
              <w:t>（提供原厂五年免费质保承诺函）</w:t>
            </w:r>
          </w:p>
        </w:tc>
        <w:tc>
          <w:tcPr>
            <w:tcW w:w="851" w:type="dxa"/>
            <w:vMerge w:val="restart"/>
            <w:shd w:val="clear" w:color="auto" w:fill="auto"/>
            <w:noWrap/>
            <w:vAlign w:val="center"/>
          </w:tcPr>
          <w:p w14:paraId="77A5318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143</w:t>
            </w:r>
          </w:p>
        </w:tc>
        <w:tc>
          <w:tcPr>
            <w:tcW w:w="992" w:type="dxa"/>
            <w:vMerge w:val="restart"/>
            <w:shd w:val="clear" w:color="auto" w:fill="auto"/>
            <w:noWrap/>
            <w:vAlign w:val="center"/>
          </w:tcPr>
          <w:p w14:paraId="1768EDC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850" w:type="dxa"/>
            <w:vMerge w:val="restart"/>
          </w:tcPr>
          <w:p w14:paraId="7E8A75F2">
            <w:pPr>
              <w:widowControl/>
              <w:jc w:val="center"/>
              <w:rPr>
                <w:rFonts w:hint="eastAsia" w:ascii="宋体" w:hAnsi="宋体" w:eastAsia="宋体" w:cs="Times New Roman"/>
                <w:kern w:val="0"/>
                <w:sz w:val="24"/>
                <w:szCs w:val="24"/>
              </w:rPr>
            </w:pPr>
          </w:p>
        </w:tc>
        <w:tc>
          <w:tcPr>
            <w:tcW w:w="850" w:type="dxa"/>
            <w:vMerge w:val="restart"/>
          </w:tcPr>
          <w:p w14:paraId="49A340EB">
            <w:pPr>
              <w:widowControl/>
              <w:jc w:val="center"/>
              <w:rPr>
                <w:rFonts w:hint="eastAsia" w:ascii="宋体" w:hAnsi="宋体" w:eastAsia="宋体" w:cs="Times New Roman"/>
                <w:kern w:val="0"/>
                <w:sz w:val="24"/>
                <w:szCs w:val="24"/>
              </w:rPr>
            </w:pPr>
          </w:p>
        </w:tc>
        <w:tc>
          <w:tcPr>
            <w:tcW w:w="1277" w:type="dxa"/>
            <w:vMerge w:val="restart"/>
            <w:shd w:val="clear" w:color="auto" w:fill="auto"/>
            <w:noWrap/>
            <w:vAlign w:val="center"/>
          </w:tcPr>
          <w:p w14:paraId="2F765231">
            <w:pPr>
              <w:widowControl/>
              <w:jc w:val="center"/>
              <w:rPr>
                <w:rFonts w:hint="eastAsia" w:ascii="宋体" w:hAnsi="宋体" w:eastAsia="宋体" w:cs="Times New Roman"/>
                <w:kern w:val="0"/>
                <w:sz w:val="24"/>
                <w:szCs w:val="24"/>
              </w:rPr>
            </w:pPr>
          </w:p>
        </w:tc>
      </w:tr>
      <w:tr w14:paraId="283A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vMerge w:val="continue"/>
            <w:vAlign w:val="center"/>
          </w:tcPr>
          <w:p w14:paraId="3E0EEA4B">
            <w:pPr>
              <w:widowControl/>
              <w:jc w:val="left"/>
              <w:rPr>
                <w:rFonts w:hint="eastAsia" w:ascii="宋体" w:hAnsi="宋体" w:eastAsia="宋体" w:cs="Times New Roman"/>
                <w:kern w:val="0"/>
                <w:sz w:val="24"/>
                <w:szCs w:val="24"/>
              </w:rPr>
            </w:pPr>
          </w:p>
        </w:tc>
        <w:tc>
          <w:tcPr>
            <w:tcW w:w="1245" w:type="dxa"/>
            <w:vMerge w:val="continue"/>
            <w:vAlign w:val="center"/>
          </w:tcPr>
          <w:p w14:paraId="5D3F0E38">
            <w:pPr>
              <w:widowControl/>
              <w:jc w:val="left"/>
              <w:rPr>
                <w:rFonts w:hint="eastAsia" w:ascii="宋体" w:hAnsi="宋体" w:eastAsia="宋体" w:cs="Times New Roman"/>
                <w:kern w:val="0"/>
                <w:sz w:val="24"/>
                <w:szCs w:val="24"/>
              </w:rPr>
            </w:pPr>
          </w:p>
        </w:tc>
        <w:tc>
          <w:tcPr>
            <w:tcW w:w="4105" w:type="dxa"/>
            <w:shd w:val="clear" w:color="auto" w:fill="auto"/>
            <w:vAlign w:val="center"/>
          </w:tcPr>
          <w:p w14:paraId="5711656A">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兼容要求：需与我校现网AC设备兼容，实现统一管理、集中管控</w:t>
            </w:r>
          </w:p>
        </w:tc>
        <w:tc>
          <w:tcPr>
            <w:tcW w:w="851" w:type="dxa"/>
            <w:vMerge w:val="continue"/>
            <w:vAlign w:val="center"/>
          </w:tcPr>
          <w:p w14:paraId="516C8300">
            <w:pPr>
              <w:widowControl/>
              <w:jc w:val="left"/>
              <w:rPr>
                <w:rFonts w:hint="eastAsia" w:ascii="宋体" w:hAnsi="宋体" w:eastAsia="宋体" w:cs="Times New Roman"/>
                <w:kern w:val="0"/>
                <w:sz w:val="24"/>
                <w:szCs w:val="24"/>
              </w:rPr>
            </w:pPr>
          </w:p>
        </w:tc>
        <w:tc>
          <w:tcPr>
            <w:tcW w:w="992" w:type="dxa"/>
            <w:vMerge w:val="continue"/>
            <w:vAlign w:val="center"/>
          </w:tcPr>
          <w:p w14:paraId="4AEA7BA1">
            <w:pPr>
              <w:widowControl/>
              <w:jc w:val="left"/>
              <w:rPr>
                <w:rFonts w:hint="eastAsia" w:ascii="宋体" w:hAnsi="宋体" w:eastAsia="宋体" w:cs="Times New Roman"/>
                <w:kern w:val="0"/>
                <w:sz w:val="24"/>
                <w:szCs w:val="24"/>
              </w:rPr>
            </w:pPr>
          </w:p>
        </w:tc>
        <w:tc>
          <w:tcPr>
            <w:tcW w:w="850" w:type="dxa"/>
            <w:vMerge w:val="continue"/>
          </w:tcPr>
          <w:p w14:paraId="27ECBB41">
            <w:pPr>
              <w:widowControl/>
              <w:jc w:val="left"/>
              <w:rPr>
                <w:rFonts w:hint="eastAsia" w:ascii="宋体" w:hAnsi="宋体" w:eastAsia="宋体" w:cs="Times New Roman"/>
                <w:kern w:val="0"/>
                <w:sz w:val="24"/>
                <w:szCs w:val="24"/>
              </w:rPr>
            </w:pPr>
          </w:p>
        </w:tc>
        <w:tc>
          <w:tcPr>
            <w:tcW w:w="850" w:type="dxa"/>
            <w:vMerge w:val="continue"/>
          </w:tcPr>
          <w:p w14:paraId="3866D4CB">
            <w:pPr>
              <w:widowControl/>
              <w:jc w:val="left"/>
              <w:rPr>
                <w:rFonts w:hint="eastAsia" w:ascii="宋体" w:hAnsi="宋体" w:eastAsia="宋体" w:cs="Times New Roman"/>
                <w:kern w:val="0"/>
                <w:sz w:val="24"/>
                <w:szCs w:val="24"/>
              </w:rPr>
            </w:pPr>
          </w:p>
        </w:tc>
        <w:tc>
          <w:tcPr>
            <w:tcW w:w="1277" w:type="dxa"/>
            <w:vMerge w:val="continue"/>
            <w:vAlign w:val="center"/>
          </w:tcPr>
          <w:p w14:paraId="2095A728">
            <w:pPr>
              <w:widowControl/>
              <w:jc w:val="left"/>
              <w:rPr>
                <w:rFonts w:hint="eastAsia" w:ascii="宋体" w:hAnsi="宋体" w:eastAsia="宋体" w:cs="Times New Roman"/>
                <w:kern w:val="0"/>
                <w:sz w:val="24"/>
                <w:szCs w:val="24"/>
              </w:rPr>
            </w:pPr>
          </w:p>
        </w:tc>
      </w:tr>
      <w:tr w14:paraId="5D74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vMerge w:val="restart"/>
            <w:shd w:val="clear" w:color="auto" w:fill="auto"/>
            <w:noWrap/>
            <w:vAlign w:val="center"/>
          </w:tcPr>
          <w:p w14:paraId="650B84F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w:t>
            </w:r>
          </w:p>
        </w:tc>
        <w:tc>
          <w:tcPr>
            <w:tcW w:w="1245" w:type="dxa"/>
            <w:vMerge w:val="restart"/>
            <w:shd w:val="clear" w:color="auto" w:fill="auto"/>
            <w:vAlign w:val="center"/>
          </w:tcPr>
          <w:p w14:paraId="05FA145D">
            <w:pPr>
              <w:widowControl/>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w:t>
            </w:r>
          </w:p>
          <w:p w14:paraId="65EBF29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4口ONU</w:t>
            </w:r>
          </w:p>
        </w:tc>
        <w:tc>
          <w:tcPr>
            <w:tcW w:w="4105" w:type="dxa"/>
            <w:shd w:val="clear" w:color="auto" w:fill="auto"/>
            <w:vAlign w:val="center"/>
          </w:tcPr>
          <w:p w14:paraId="27C5D37C">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整机要求：10G PON技术标准须为：10G EPON（IEEE 802.3av标准），网络侧10G PON口≥1（含对等模块），用户侧GE接口≥4，支持POE/POE+，整机供电功率≥60W</w:t>
            </w:r>
            <w:r>
              <w:rPr>
                <w:rFonts w:hint="eastAsia" w:ascii="宋体" w:hAnsi="宋体" w:eastAsia="宋体" w:cs="Times New Roman"/>
                <w:kern w:val="0"/>
                <w:sz w:val="24"/>
                <w:szCs w:val="24"/>
              </w:rPr>
              <w:t>（提供原厂五年免费质保承诺函）</w:t>
            </w:r>
          </w:p>
        </w:tc>
        <w:tc>
          <w:tcPr>
            <w:tcW w:w="851" w:type="dxa"/>
            <w:vMerge w:val="restart"/>
            <w:shd w:val="clear" w:color="auto" w:fill="auto"/>
            <w:noWrap/>
            <w:vAlign w:val="center"/>
          </w:tcPr>
          <w:p w14:paraId="6B4F0CF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992" w:type="dxa"/>
            <w:vMerge w:val="restart"/>
            <w:shd w:val="clear" w:color="auto" w:fill="auto"/>
            <w:noWrap/>
            <w:vAlign w:val="center"/>
          </w:tcPr>
          <w:p w14:paraId="52B1668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850" w:type="dxa"/>
            <w:vMerge w:val="restart"/>
          </w:tcPr>
          <w:p w14:paraId="6D71E6ED">
            <w:pPr>
              <w:widowControl/>
              <w:jc w:val="center"/>
              <w:rPr>
                <w:rFonts w:hint="eastAsia" w:ascii="宋体" w:hAnsi="宋体" w:eastAsia="宋体" w:cs="Times New Roman"/>
                <w:kern w:val="0"/>
                <w:sz w:val="24"/>
                <w:szCs w:val="24"/>
              </w:rPr>
            </w:pPr>
          </w:p>
        </w:tc>
        <w:tc>
          <w:tcPr>
            <w:tcW w:w="850" w:type="dxa"/>
            <w:vMerge w:val="restart"/>
          </w:tcPr>
          <w:p w14:paraId="464E262C">
            <w:pPr>
              <w:widowControl/>
              <w:jc w:val="center"/>
              <w:rPr>
                <w:rFonts w:hint="eastAsia" w:ascii="宋体" w:hAnsi="宋体" w:eastAsia="宋体" w:cs="Times New Roman"/>
                <w:kern w:val="0"/>
                <w:sz w:val="24"/>
                <w:szCs w:val="24"/>
              </w:rPr>
            </w:pPr>
          </w:p>
        </w:tc>
        <w:tc>
          <w:tcPr>
            <w:tcW w:w="1277" w:type="dxa"/>
            <w:vMerge w:val="restart"/>
            <w:shd w:val="clear" w:color="auto" w:fill="auto"/>
            <w:noWrap/>
            <w:vAlign w:val="center"/>
          </w:tcPr>
          <w:p w14:paraId="7AB71A30">
            <w:pPr>
              <w:widowControl/>
              <w:jc w:val="center"/>
              <w:rPr>
                <w:rFonts w:hint="eastAsia" w:ascii="宋体" w:hAnsi="宋体" w:eastAsia="宋体" w:cs="Times New Roman"/>
                <w:kern w:val="0"/>
                <w:sz w:val="24"/>
                <w:szCs w:val="24"/>
              </w:rPr>
            </w:pPr>
          </w:p>
        </w:tc>
      </w:tr>
      <w:tr w14:paraId="0B49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vMerge w:val="continue"/>
            <w:vAlign w:val="center"/>
          </w:tcPr>
          <w:p w14:paraId="5D15CF27">
            <w:pPr>
              <w:widowControl/>
              <w:jc w:val="left"/>
              <w:rPr>
                <w:rFonts w:hint="eastAsia" w:ascii="宋体" w:hAnsi="宋体" w:eastAsia="宋体" w:cs="Times New Roman"/>
                <w:kern w:val="0"/>
                <w:sz w:val="24"/>
                <w:szCs w:val="24"/>
              </w:rPr>
            </w:pPr>
          </w:p>
        </w:tc>
        <w:tc>
          <w:tcPr>
            <w:tcW w:w="1245" w:type="dxa"/>
            <w:vMerge w:val="continue"/>
            <w:vAlign w:val="center"/>
          </w:tcPr>
          <w:p w14:paraId="28B8E23D">
            <w:pPr>
              <w:widowControl/>
              <w:jc w:val="left"/>
              <w:rPr>
                <w:rFonts w:hint="eastAsia" w:ascii="宋体" w:hAnsi="宋体" w:eastAsia="宋体" w:cs="Times New Roman"/>
                <w:kern w:val="0"/>
                <w:sz w:val="24"/>
                <w:szCs w:val="24"/>
              </w:rPr>
            </w:pPr>
          </w:p>
        </w:tc>
        <w:tc>
          <w:tcPr>
            <w:tcW w:w="4105" w:type="dxa"/>
            <w:shd w:val="clear" w:color="auto" w:fill="auto"/>
            <w:vAlign w:val="center"/>
          </w:tcPr>
          <w:p w14:paraId="57CBF42F">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兼容要求：需与我校现网OLT设备兼容，实现统一管理、集中管控</w:t>
            </w:r>
          </w:p>
        </w:tc>
        <w:tc>
          <w:tcPr>
            <w:tcW w:w="851" w:type="dxa"/>
            <w:vMerge w:val="continue"/>
            <w:vAlign w:val="center"/>
          </w:tcPr>
          <w:p w14:paraId="4663877D">
            <w:pPr>
              <w:widowControl/>
              <w:jc w:val="left"/>
              <w:rPr>
                <w:rFonts w:hint="eastAsia" w:ascii="宋体" w:hAnsi="宋体" w:eastAsia="宋体" w:cs="Times New Roman"/>
                <w:kern w:val="0"/>
                <w:sz w:val="24"/>
                <w:szCs w:val="24"/>
              </w:rPr>
            </w:pPr>
          </w:p>
        </w:tc>
        <w:tc>
          <w:tcPr>
            <w:tcW w:w="992" w:type="dxa"/>
            <w:vMerge w:val="continue"/>
            <w:vAlign w:val="center"/>
          </w:tcPr>
          <w:p w14:paraId="7351AD22">
            <w:pPr>
              <w:widowControl/>
              <w:jc w:val="left"/>
              <w:rPr>
                <w:rFonts w:hint="eastAsia" w:ascii="宋体" w:hAnsi="宋体" w:eastAsia="宋体" w:cs="Times New Roman"/>
                <w:kern w:val="0"/>
                <w:sz w:val="24"/>
                <w:szCs w:val="24"/>
              </w:rPr>
            </w:pPr>
          </w:p>
        </w:tc>
        <w:tc>
          <w:tcPr>
            <w:tcW w:w="850" w:type="dxa"/>
            <w:vMerge w:val="continue"/>
          </w:tcPr>
          <w:p w14:paraId="4D8091D2">
            <w:pPr>
              <w:widowControl/>
              <w:jc w:val="left"/>
              <w:rPr>
                <w:rFonts w:hint="eastAsia" w:ascii="宋体" w:hAnsi="宋体" w:eastAsia="宋体" w:cs="Times New Roman"/>
                <w:kern w:val="0"/>
                <w:sz w:val="24"/>
                <w:szCs w:val="24"/>
              </w:rPr>
            </w:pPr>
          </w:p>
        </w:tc>
        <w:tc>
          <w:tcPr>
            <w:tcW w:w="850" w:type="dxa"/>
            <w:vMerge w:val="continue"/>
          </w:tcPr>
          <w:p w14:paraId="129A7CC5">
            <w:pPr>
              <w:widowControl/>
              <w:jc w:val="left"/>
              <w:rPr>
                <w:rFonts w:hint="eastAsia" w:ascii="宋体" w:hAnsi="宋体" w:eastAsia="宋体" w:cs="Times New Roman"/>
                <w:kern w:val="0"/>
                <w:sz w:val="24"/>
                <w:szCs w:val="24"/>
              </w:rPr>
            </w:pPr>
          </w:p>
        </w:tc>
        <w:tc>
          <w:tcPr>
            <w:tcW w:w="1277" w:type="dxa"/>
            <w:vMerge w:val="continue"/>
            <w:vAlign w:val="center"/>
          </w:tcPr>
          <w:p w14:paraId="1F6BF2AE">
            <w:pPr>
              <w:widowControl/>
              <w:jc w:val="left"/>
              <w:rPr>
                <w:rFonts w:hint="eastAsia" w:ascii="宋体" w:hAnsi="宋体" w:eastAsia="宋体" w:cs="Times New Roman"/>
                <w:kern w:val="0"/>
                <w:sz w:val="24"/>
                <w:szCs w:val="24"/>
              </w:rPr>
            </w:pPr>
          </w:p>
        </w:tc>
      </w:tr>
      <w:tr w14:paraId="1174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vMerge w:val="restart"/>
            <w:shd w:val="clear" w:color="auto" w:fill="auto"/>
            <w:noWrap/>
            <w:vAlign w:val="center"/>
          </w:tcPr>
          <w:p w14:paraId="2802FF7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5</w:t>
            </w:r>
          </w:p>
        </w:tc>
        <w:tc>
          <w:tcPr>
            <w:tcW w:w="1245" w:type="dxa"/>
            <w:vMerge w:val="restart"/>
            <w:shd w:val="clear" w:color="auto" w:fill="auto"/>
            <w:vAlign w:val="center"/>
          </w:tcPr>
          <w:p w14:paraId="160F6A33">
            <w:pPr>
              <w:widowControl/>
              <w:jc w:val="center"/>
              <w:rPr>
                <w:rFonts w:hint="eastAsia"/>
                <w:color w:val="000000"/>
                <w:szCs w:val="21"/>
              </w:rPr>
            </w:pPr>
            <w:r>
              <w:rPr>
                <w:rFonts w:hint="eastAsia"/>
                <w:color w:val="000000"/>
                <w:szCs w:val="21"/>
              </w:rPr>
              <w:t>▲</w:t>
            </w:r>
          </w:p>
          <w:p w14:paraId="6869E49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8口ONU</w:t>
            </w:r>
          </w:p>
        </w:tc>
        <w:tc>
          <w:tcPr>
            <w:tcW w:w="4105" w:type="dxa"/>
            <w:shd w:val="clear" w:color="auto" w:fill="auto"/>
            <w:vAlign w:val="center"/>
          </w:tcPr>
          <w:p w14:paraId="417277CD">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整机要求：10G PON技术标准须为：10G EPON（IEEE 802.3av标准），网络侧10G PON口≥1（含对等模块），用户侧GE接口≥8，支持POE/POE+，整机供电功率≥120W</w:t>
            </w:r>
            <w:r>
              <w:rPr>
                <w:rFonts w:hint="eastAsia" w:ascii="宋体" w:hAnsi="宋体" w:eastAsia="宋体" w:cs="Times New Roman"/>
                <w:kern w:val="0"/>
                <w:sz w:val="24"/>
                <w:szCs w:val="24"/>
              </w:rPr>
              <w:t>（提供原厂五年免费质保承诺函）</w:t>
            </w:r>
          </w:p>
        </w:tc>
        <w:tc>
          <w:tcPr>
            <w:tcW w:w="851" w:type="dxa"/>
            <w:vMerge w:val="restart"/>
            <w:shd w:val="clear" w:color="auto" w:fill="auto"/>
            <w:noWrap/>
            <w:vAlign w:val="center"/>
          </w:tcPr>
          <w:p w14:paraId="5F6AC73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30</w:t>
            </w:r>
          </w:p>
        </w:tc>
        <w:tc>
          <w:tcPr>
            <w:tcW w:w="992" w:type="dxa"/>
            <w:vMerge w:val="restart"/>
            <w:shd w:val="clear" w:color="auto" w:fill="auto"/>
            <w:noWrap/>
            <w:vAlign w:val="center"/>
          </w:tcPr>
          <w:p w14:paraId="1E6A723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850" w:type="dxa"/>
            <w:vMerge w:val="restart"/>
          </w:tcPr>
          <w:p w14:paraId="044D7008">
            <w:pPr>
              <w:widowControl/>
              <w:jc w:val="center"/>
              <w:rPr>
                <w:rFonts w:hint="eastAsia" w:ascii="宋体" w:hAnsi="宋体" w:eastAsia="宋体" w:cs="Times New Roman"/>
                <w:kern w:val="0"/>
                <w:sz w:val="24"/>
                <w:szCs w:val="24"/>
              </w:rPr>
            </w:pPr>
          </w:p>
        </w:tc>
        <w:tc>
          <w:tcPr>
            <w:tcW w:w="850" w:type="dxa"/>
            <w:vMerge w:val="restart"/>
          </w:tcPr>
          <w:p w14:paraId="69B873EB">
            <w:pPr>
              <w:widowControl/>
              <w:jc w:val="center"/>
              <w:rPr>
                <w:rFonts w:hint="eastAsia" w:ascii="宋体" w:hAnsi="宋体" w:eastAsia="宋体" w:cs="Times New Roman"/>
                <w:kern w:val="0"/>
                <w:sz w:val="24"/>
                <w:szCs w:val="24"/>
              </w:rPr>
            </w:pPr>
          </w:p>
        </w:tc>
        <w:tc>
          <w:tcPr>
            <w:tcW w:w="1277" w:type="dxa"/>
            <w:vMerge w:val="restart"/>
            <w:shd w:val="clear" w:color="auto" w:fill="auto"/>
            <w:noWrap/>
            <w:vAlign w:val="center"/>
          </w:tcPr>
          <w:p w14:paraId="74AC4F8A">
            <w:pPr>
              <w:widowControl/>
              <w:jc w:val="center"/>
              <w:rPr>
                <w:rFonts w:hint="eastAsia" w:ascii="宋体" w:hAnsi="宋体" w:eastAsia="宋体" w:cs="Times New Roman"/>
                <w:kern w:val="0"/>
                <w:sz w:val="24"/>
                <w:szCs w:val="24"/>
              </w:rPr>
            </w:pPr>
          </w:p>
        </w:tc>
      </w:tr>
      <w:tr w14:paraId="0BAA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vMerge w:val="continue"/>
            <w:vAlign w:val="center"/>
          </w:tcPr>
          <w:p w14:paraId="383CF833">
            <w:pPr>
              <w:widowControl/>
              <w:jc w:val="left"/>
              <w:rPr>
                <w:rFonts w:hint="eastAsia" w:ascii="宋体" w:hAnsi="宋体" w:eastAsia="宋体" w:cs="Times New Roman"/>
                <w:kern w:val="0"/>
                <w:sz w:val="24"/>
                <w:szCs w:val="24"/>
              </w:rPr>
            </w:pPr>
          </w:p>
        </w:tc>
        <w:tc>
          <w:tcPr>
            <w:tcW w:w="1245" w:type="dxa"/>
            <w:vMerge w:val="continue"/>
            <w:vAlign w:val="center"/>
          </w:tcPr>
          <w:p w14:paraId="160A7C85">
            <w:pPr>
              <w:widowControl/>
              <w:jc w:val="left"/>
              <w:rPr>
                <w:rFonts w:hint="eastAsia" w:ascii="宋体" w:hAnsi="宋体" w:eastAsia="宋体" w:cs="Times New Roman"/>
                <w:kern w:val="0"/>
                <w:sz w:val="24"/>
                <w:szCs w:val="24"/>
              </w:rPr>
            </w:pPr>
          </w:p>
        </w:tc>
        <w:tc>
          <w:tcPr>
            <w:tcW w:w="4105" w:type="dxa"/>
            <w:shd w:val="clear" w:color="auto" w:fill="auto"/>
            <w:vAlign w:val="center"/>
          </w:tcPr>
          <w:p w14:paraId="2B57B270">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兼容要求：需与我校现网OLT设备兼容，实现统一管理、集中管控</w:t>
            </w:r>
          </w:p>
        </w:tc>
        <w:tc>
          <w:tcPr>
            <w:tcW w:w="851" w:type="dxa"/>
            <w:vMerge w:val="continue"/>
            <w:vAlign w:val="center"/>
          </w:tcPr>
          <w:p w14:paraId="5E654E66">
            <w:pPr>
              <w:widowControl/>
              <w:jc w:val="left"/>
              <w:rPr>
                <w:rFonts w:hint="eastAsia" w:ascii="宋体" w:hAnsi="宋体" w:eastAsia="宋体" w:cs="Times New Roman"/>
                <w:kern w:val="0"/>
                <w:sz w:val="24"/>
                <w:szCs w:val="24"/>
              </w:rPr>
            </w:pPr>
          </w:p>
        </w:tc>
        <w:tc>
          <w:tcPr>
            <w:tcW w:w="992" w:type="dxa"/>
            <w:vMerge w:val="continue"/>
            <w:vAlign w:val="center"/>
          </w:tcPr>
          <w:p w14:paraId="6F7D857B">
            <w:pPr>
              <w:widowControl/>
              <w:jc w:val="left"/>
              <w:rPr>
                <w:rFonts w:hint="eastAsia" w:ascii="宋体" w:hAnsi="宋体" w:eastAsia="宋体" w:cs="Times New Roman"/>
                <w:kern w:val="0"/>
                <w:sz w:val="24"/>
                <w:szCs w:val="24"/>
              </w:rPr>
            </w:pPr>
          </w:p>
        </w:tc>
        <w:tc>
          <w:tcPr>
            <w:tcW w:w="850" w:type="dxa"/>
            <w:vMerge w:val="continue"/>
          </w:tcPr>
          <w:p w14:paraId="1CDFD2BB">
            <w:pPr>
              <w:widowControl/>
              <w:jc w:val="left"/>
              <w:rPr>
                <w:rFonts w:hint="eastAsia" w:ascii="宋体" w:hAnsi="宋体" w:eastAsia="宋体" w:cs="Times New Roman"/>
                <w:kern w:val="0"/>
                <w:sz w:val="24"/>
                <w:szCs w:val="24"/>
              </w:rPr>
            </w:pPr>
          </w:p>
        </w:tc>
        <w:tc>
          <w:tcPr>
            <w:tcW w:w="850" w:type="dxa"/>
            <w:vMerge w:val="continue"/>
          </w:tcPr>
          <w:p w14:paraId="1BB5EB2D">
            <w:pPr>
              <w:widowControl/>
              <w:jc w:val="left"/>
              <w:rPr>
                <w:rFonts w:hint="eastAsia" w:ascii="宋体" w:hAnsi="宋体" w:eastAsia="宋体" w:cs="Times New Roman"/>
                <w:kern w:val="0"/>
                <w:sz w:val="24"/>
                <w:szCs w:val="24"/>
              </w:rPr>
            </w:pPr>
          </w:p>
        </w:tc>
        <w:tc>
          <w:tcPr>
            <w:tcW w:w="1277" w:type="dxa"/>
            <w:vMerge w:val="continue"/>
            <w:vAlign w:val="center"/>
          </w:tcPr>
          <w:p w14:paraId="3D76A523">
            <w:pPr>
              <w:widowControl/>
              <w:jc w:val="left"/>
              <w:rPr>
                <w:rFonts w:hint="eastAsia" w:ascii="宋体" w:hAnsi="宋体" w:eastAsia="宋体" w:cs="Times New Roman"/>
                <w:kern w:val="0"/>
                <w:sz w:val="24"/>
                <w:szCs w:val="24"/>
              </w:rPr>
            </w:pPr>
          </w:p>
        </w:tc>
      </w:tr>
      <w:tr w14:paraId="163F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vMerge w:val="restart"/>
            <w:shd w:val="clear" w:color="auto" w:fill="auto"/>
            <w:noWrap/>
            <w:vAlign w:val="center"/>
          </w:tcPr>
          <w:p w14:paraId="14ECE1E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6</w:t>
            </w:r>
          </w:p>
        </w:tc>
        <w:tc>
          <w:tcPr>
            <w:tcW w:w="1245" w:type="dxa"/>
            <w:vMerge w:val="restart"/>
            <w:shd w:val="clear" w:color="auto" w:fill="auto"/>
            <w:vAlign w:val="center"/>
          </w:tcPr>
          <w:p w14:paraId="5EA24E6D">
            <w:pPr>
              <w:widowControl/>
              <w:jc w:val="center"/>
              <w:rPr>
                <w:rFonts w:hint="eastAsia"/>
                <w:color w:val="000000"/>
                <w:szCs w:val="21"/>
              </w:rPr>
            </w:pPr>
            <w:r>
              <w:rPr>
                <w:rFonts w:hint="eastAsia"/>
                <w:color w:val="000000"/>
                <w:szCs w:val="21"/>
              </w:rPr>
              <w:t>▲</w:t>
            </w:r>
          </w:p>
          <w:p w14:paraId="13A795B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16口ONU</w:t>
            </w:r>
          </w:p>
        </w:tc>
        <w:tc>
          <w:tcPr>
            <w:tcW w:w="4105" w:type="dxa"/>
            <w:shd w:val="clear" w:color="auto" w:fill="auto"/>
            <w:vAlign w:val="center"/>
          </w:tcPr>
          <w:p w14:paraId="1F26AF4C">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整机要求：10G PON技术标准须为：10G EPON（IEEE 802.3av标准），网络侧10G PON口≥1（含对等模块），用户侧GE接口≥8，支持POE/POE+，整机供电功率≥120W</w:t>
            </w:r>
            <w:r>
              <w:rPr>
                <w:rFonts w:hint="eastAsia" w:ascii="宋体" w:hAnsi="宋体" w:eastAsia="宋体" w:cs="Times New Roman"/>
                <w:kern w:val="0"/>
                <w:sz w:val="24"/>
                <w:szCs w:val="24"/>
              </w:rPr>
              <w:t>（提供原厂五年免费质保承诺函）</w:t>
            </w:r>
          </w:p>
        </w:tc>
        <w:tc>
          <w:tcPr>
            <w:tcW w:w="851" w:type="dxa"/>
            <w:vMerge w:val="restart"/>
            <w:shd w:val="clear" w:color="auto" w:fill="auto"/>
            <w:noWrap/>
            <w:vAlign w:val="center"/>
          </w:tcPr>
          <w:p w14:paraId="2A1FC41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992" w:type="dxa"/>
            <w:vMerge w:val="restart"/>
            <w:shd w:val="clear" w:color="auto" w:fill="auto"/>
            <w:noWrap/>
            <w:vAlign w:val="center"/>
          </w:tcPr>
          <w:p w14:paraId="1FB252CA">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台</w:t>
            </w:r>
          </w:p>
        </w:tc>
        <w:tc>
          <w:tcPr>
            <w:tcW w:w="850" w:type="dxa"/>
            <w:vMerge w:val="restart"/>
          </w:tcPr>
          <w:p w14:paraId="1F681F2F">
            <w:pPr>
              <w:widowControl/>
              <w:jc w:val="center"/>
              <w:rPr>
                <w:rFonts w:hint="eastAsia" w:ascii="宋体" w:hAnsi="宋体" w:eastAsia="宋体" w:cs="Times New Roman"/>
                <w:kern w:val="0"/>
                <w:sz w:val="24"/>
                <w:szCs w:val="24"/>
              </w:rPr>
            </w:pPr>
          </w:p>
        </w:tc>
        <w:tc>
          <w:tcPr>
            <w:tcW w:w="850" w:type="dxa"/>
            <w:vMerge w:val="restart"/>
          </w:tcPr>
          <w:p w14:paraId="3CE63754">
            <w:pPr>
              <w:widowControl/>
              <w:jc w:val="center"/>
              <w:rPr>
                <w:rFonts w:hint="eastAsia" w:ascii="宋体" w:hAnsi="宋体" w:eastAsia="宋体" w:cs="Times New Roman"/>
                <w:kern w:val="0"/>
                <w:sz w:val="24"/>
                <w:szCs w:val="24"/>
              </w:rPr>
            </w:pPr>
          </w:p>
        </w:tc>
        <w:tc>
          <w:tcPr>
            <w:tcW w:w="1277" w:type="dxa"/>
            <w:vMerge w:val="restart"/>
            <w:shd w:val="clear" w:color="auto" w:fill="auto"/>
            <w:noWrap/>
            <w:vAlign w:val="center"/>
          </w:tcPr>
          <w:p w14:paraId="171EDE36">
            <w:pPr>
              <w:widowControl/>
              <w:jc w:val="center"/>
              <w:rPr>
                <w:rFonts w:hint="eastAsia" w:ascii="宋体" w:hAnsi="宋体" w:eastAsia="宋体" w:cs="Times New Roman"/>
                <w:kern w:val="0"/>
                <w:sz w:val="24"/>
                <w:szCs w:val="24"/>
              </w:rPr>
            </w:pPr>
          </w:p>
        </w:tc>
      </w:tr>
      <w:tr w14:paraId="0BBC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vMerge w:val="continue"/>
            <w:vAlign w:val="center"/>
          </w:tcPr>
          <w:p w14:paraId="1B60F1B4">
            <w:pPr>
              <w:widowControl/>
              <w:jc w:val="left"/>
              <w:rPr>
                <w:rFonts w:hint="eastAsia" w:ascii="宋体" w:hAnsi="宋体" w:eastAsia="宋体" w:cs="Times New Roman"/>
                <w:kern w:val="0"/>
                <w:sz w:val="24"/>
                <w:szCs w:val="24"/>
              </w:rPr>
            </w:pPr>
          </w:p>
        </w:tc>
        <w:tc>
          <w:tcPr>
            <w:tcW w:w="1245" w:type="dxa"/>
            <w:vMerge w:val="continue"/>
            <w:vAlign w:val="center"/>
          </w:tcPr>
          <w:p w14:paraId="712543E7">
            <w:pPr>
              <w:widowControl/>
              <w:jc w:val="left"/>
              <w:rPr>
                <w:rFonts w:hint="eastAsia" w:ascii="宋体" w:hAnsi="宋体" w:eastAsia="宋体" w:cs="Times New Roman"/>
                <w:kern w:val="0"/>
                <w:sz w:val="24"/>
                <w:szCs w:val="24"/>
              </w:rPr>
            </w:pPr>
          </w:p>
        </w:tc>
        <w:tc>
          <w:tcPr>
            <w:tcW w:w="4105" w:type="dxa"/>
            <w:shd w:val="clear" w:color="auto" w:fill="auto"/>
            <w:vAlign w:val="center"/>
          </w:tcPr>
          <w:p w14:paraId="3DAAF9FE">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兼容要求：需与我校现网OLT设备兼容，实现统一管理、集中管控</w:t>
            </w:r>
          </w:p>
        </w:tc>
        <w:tc>
          <w:tcPr>
            <w:tcW w:w="851" w:type="dxa"/>
            <w:vMerge w:val="continue"/>
            <w:vAlign w:val="center"/>
          </w:tcPr>
          <w:p w14:paraId="63454F87">
            <w:pPr>
              <w:widowControl/>
              <w:jc w:val="left"/>
              <w:rPr>
                <w:rFonts w:hint="eastAsia" w:ascii="宋体" w:hAnsi="宋体" w:eastAsia="宋体" w:cs="Times New Roman"/>
                <w:kern w:val="0"/>
                <w:sz w:val="24"/>
                <w:szCs w:val="24"/>
              </w:rPr>
            </w:pPr>
          </w:p>
        </w:tc>
        <w:tc>
          <w:tcPr>
            <w:tcW w:w="992" w:type="dxa"/>
            <w:vMerge w:val="continue"/>
            <w:vAlign w:val="center"/>
          </w:tcPr>
          <w:p w14:paraId="7508C81B">
            <w:pPr>
              <w:widowControl/>
              <w:jc w:val="left"/>
              <w:rPr>
                <w:rFonts w:hint="eastAsia" w:ascii="宋体" w:hAnsi="宋体" w:eastAsia="宋体" w:cs="Times New Roman"/>
                <w:kern w:val="0"/>
                <w:sz w:val="24"/>
                <w:szCs w:val="24"/>
              </w:rPr>
            </w:pPr>
          </w:p>
        </w:tc>
        <w:tc>
          <w:tcPr>
            <w:tcW w:w="850" w:type="dxa"/>
            <w:vMerge w:val="continue"/>
          </w:tcPr>
          <w:p w14:paraId="0C557FA9">
            <w:pPr>
              <w:widowControl/>
              <w:jc w:val="left"/>
              <w:rPr>
                <w:rFonts w:hint="eastAsia" w:ascii="宋体" w:hAnsi="宋体" w:eastAsia="宋体" w:cs="Times New Roman"/>
                <w:kern w:val="0"/>
                <w:sz w:val="24"/>
                <w:szCs w:val="24"/>
              </w:rPr>
            </w:pPr>
          </w:p>
        </w:tc>
        <w:tc>
          <w:tcPr>
            <w:tcW w:w="850" w:type="dxa"/>
            <w:vMerge w:val="continue"/>
          </w:tcPr>
          <w:p w14:paraId="09F57800">
            <w:pPr>
              <w:widowControl/>
              <w:jc w:val="left"/>
              <w:rPr>
                <w:rFonts w:hint="eastAsia" w:ascii="宋体" w:hAnsi="宋体" w:eastAsia="宋体" w:cs="Times New Roman"/>
                <w:kern w:val="0"/>
                <w:sz w:val="24"/>
                <w:szCs w:val="24"/>
              </w:rPr>
            </w:pPr>
          </w:p>
        </w:tc>
        <w:tc>
          <w:tcPr>
            <w:tcW w:w="1277" w:type="dxa"/>
            <w:vMerge w:val="continue"/>
            <w:vAlign w:val="center"/>
          </w:tcPr>
          <w:p w14:paraId="6CF19A62">
            <w:pPr>
              <w:widowControl/>
              <w:jc w:val="left"/>
              <w:rPr>
                <w:rFonts w:hint="eastAsia" w:ascii="宋体" w:hAnsi="宋体" w:eastAsia="宋体" w:cs="Times New Roman"/>
                <w:kern w:val="0"/>
                <w:sz w:val="24"/>
                <w:szCs w:val="24"/>
              </w:rPr>
            </w:pPr>
          </w:p>
        </w:tc>
      </w:tr>
      <w:tr w14:paraId="482F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vMerge w:val="restart"/>
            <w:shd w:val="clear" w:color="auto" w:fill="auto"/>
            <w:noWrap/>
            <w:vAlign w:val="center"/>
          </w:tcPr>
          <w:p w14:paraId="5CAF839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7</w:t>
            </w:r>
          </w:p>
        </w:tc>
        <w:tc>
          <w:tcPr>
            <w:tcW w:w="1245" w:type="dxa"/>
            <w:vMerge w:val="restart"/>
            <w:shd w:val="clear" w:color="auto" w:fill="auto"/>
            <w:vAlign w:val="center"/>
          </w:tcPr>
          <w:p w14:paraId="54573C13">
            <w:pPr>
              <w:widowControl/>
              <w:jc w:val="center"/>
              <w:rPr>
                <w:rFonts w:hint="eastAsia"/>
                <w:color w:val="000000"/>
                <w:szCs w:val="21"/>
              </w:rPr>
            </w:pPr>
            <w:r>
              <w:rPr>
                <w:rFonts w:hint="eastAsia"/>
                <w:color w:val="000000"/>
                <w:szCs w:val="21"/>
              </w:rPr>
              <w:t>▲</w:t>
            </w:r>
          </w:p>
          <w:p w14:paraId="31A87C0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OLT业务板卡</w:t>
            </w:r>
          </w:p>
        </w:tc>
        <w:tc>
          <w:tcPr>
            <w:tcW w:w="4105" w:type="dxa"/>
            <w:shd w:val="clear" w:color="auto" w:fill="auto"/>
            <w:vAlign w:val="center"/>
          </w:tcPr>
          <w:p w14:paraId="27AB955A">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OLT设备，业务扩展板卡，支持12端口10G EPON口(满配对等模块)，8端口万兆光口</w:t>
            </w:r>
            <w:r>
              <w:rPr>
                <w:rFonts w:hint="eastAsia" w:ascii="宋体" w:hAnsi="宋体" w:eastAsia="宋体" w:cs="Times New Roman"/>
                <w:kern w:val="0"/>
                <w:sz w:val="24"/>
                <w:szCs w:val="24"/>
              </w:rPr>
              <w:t>（提供原厂五年免费质保承诺函）</w:t>
            </w:r>
          </w:p>
        </w:tc>
        <w:tc>
          <w:tcPr>
            <w:tcW w:w="851" w:type="dxa"/>
            <w:vMerge w:val="restart"/>
            <w:shd w:val="clear" w:color="auto" w:fill="auto"/>
            <w:noWrap/>
            <w:vAlign w:val="center"/>
          </w:tcPr>
          <w:p w14:paraId="7C8D71F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992" w:type="dxa"/>
            <w:vMerge w:val="restart"/>
            <w:shd w:val="clear" w:color="auto" w:fill="auto"/>
            <w:noWrap/>
            <w:vAlign w:val="center"/>
          </w:tcPr>
          <w:p w14:paraId="595ADE0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套</w:t>
            </w:r>
          </w:p>
        </w:tc>
        <w:tc>
          <w:tcPr>
            <w:tcW w:w="850" w:type="dxa"/>
            <w:vMerge w:val="restart"/>
          </w:tcPr>
          <w:p w14:paraId="2B5326DC">
            <w:pPr>
              <w:widowControl/>
              <w:jc w:val="center"/>
              <w:rPr>
                <w:rFonts w:hint="eastAsia" w:ascii="宋体" w:hAnsi="宋体" w:eastAsia="宋体" w:cs="Times New Roman"/>
                <w:kern w:val="0"/>
                <w:sz w:val="24"/>
                <w:szCs w:val="24"/>
              </w:rPr>
            </w:pPr>
          </w:p>
        </w:tc>
        <w:tc>
          <w:tcPr>
            <w:tcW w:w="850" w:type="dxa"/>
            <w:vMerge w:val="restart"/>
          </w:tcPr>
          <w:p w14:paraId="67B215AF">
            <w:pPr>
              <w:widowControl/>
              <w:jc w:val="center"/>
              <w:rPr>
                <w:rFonts w:hint="eastAsia" w:ascii="宋体" w:hAnsi="宋体" w:eastAsia="宋体" w:cs="Times New Roman"/>
                <w:kern w:val="0"/>
                <w:sz w:val="24"/>
                <w:szCs w:val="24"/>
              </w:rPr>
            </w:pPr>
          </w:p>
        </w:tc>
        <w:tc>
          <w:tcPr>
            <w:tcW w:w="1277" w:type="dxa"/>
            <w:vMerge w:val="restart"/>
            <w:shd w:val="clear" w:color="auto" w:fill="auto"/>
            <w:vAlign w:val="center"/>
          </w:tcPr>
          <w:p w14:paraId="0E03F089">
            <w:pPr>
              <w:widowControl/>
              <w:jc w:val="center"/>
              <w:rPr>
                <w:rFonts w:hint="eastAsia" w:ascii="宋体" w:hAnsi="宋体" w:eastAsia="宋体" w:cs="Times New Roman"/>
                <w:kern w:val="0"/>
                <w:sz w:val="24"/>
                <w:szCs w:val="24"/>
              </w:rPr>
            </w:pPr>
          </w:p>
        </w:tc>
      </w:tr>
      <w:tr w14:paraId="2B2D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vMerge w:val="continue"/>
            <w:vAlign w:val="center"/>
          </w:tcPr>
          <w:p w14:paraId="5E0CC33D">
            <w:pPr>
              <w:widowControl/>
              <w:jc w:val="left"/>
              <w:rPr>
                <w:rFonts w:hint="eastAsia" w:ascii="宋体" w:hAnsi="宋体" w:eastAsia="宋体" w:cs="Times New Roman"/>
                <w:kern w:val="0"/>
                <w:sz w:val="24"/>
                <w:szCs w:val="24"/>
              </w:rPr>
            </w:pPr>
          </w:p>
        </w:tc>
        <w:tc>
          <w:tcPr>
            <w:tcW w:w="1245" w:type="dxa"/>
            <w:vMerge w:val="continue"/>
            <w:vAlign w:val="center"/>
          </w:tcPr>
          <w:p w14:paraId="2AAAE3C3">
            <w:pPr>
              <w:widowControl/>
              <w:jc w:val="left"/>
              <w:rPr>
                <w:rFonts w:hint="eastAsia" w:ascii="宋体" w:hAnsi="宋体" w:eastAsia="宋体" w:cs="Times New Roman"/>
                <w:kern w:val="0"/>
                <w:sz w:val="24"/>
                <w:szCs w:val="24"/>
              </w:rPr>
            </w:pPr>
          </w:p>
        </w:tc>
        <w:tc>
          <w:tcPr>
            <w:tcW w:w="4105" w:type="dxa"/>
            <w:shd w:val="clear" w:color="auto" w:fill="auto"/>
            <w:vAlign w:val="center"/>
          </w:tcPr>
          <w:p w14:paraId="78F07931">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兼容要求：需与我校现网OLT设备兼容，实现统一管理、集中管控</w:t>
            </w:r>
          </w:p>
        </w:tc>
        <w:tc>
          <w:tcPr>
            <w:tcW w:w="851" w:type="dxa"/>
            <w:vMerge w:val="continue"/>
            <w:vAlign w:val="center"/>
          </w:tcPr>
          <w:p w14:paraId="3C664656">
            <w:pPr>
              <w:widowControl/>
              <w:jc w:val="left"/>
              <w:rPr>
                <w:rFonts w:hint="eastAsia" w:ascii="宋体" w:hAnsi="宋体" w:eastAsia="宋体" w:cs="Times New Roman"/>
                <w:kern w:val="0"/>
                <w:sz w:val="24"/>
                <w:szCs w:val="24"/>
              </w:rPr>
            </w:pPr>
          </w:p>
        </w:tc>
        <w:tc>
          <w:tcPr>
            <w:tcW w:w="992" w:type="dxa"/>
            <w:vMerge w:val="continue"/>
            <w:vAlign w:val="center"/>
          </w:tcPr>
          <w:p w14:paraId="3AA51CB2">
            <w:pPr>
              <w:widowControl/>
              <w:jc w:val="left"/>
              <w:rPr>
                <w:rFonts w:hint="eastAsia" w:ascii="宋体" w:hAnsi="宋体" w:eastAsia="宋体" w:cs="Times New Roman"/>
                <w:kern w:val="0"/>
                <w:sz w:val="24"/>
                <w:szCs w:val="24"/>
              </w:rPr>
            </w:pPr>
          </w:p>
        </w:tc>
        <w:tc>
          <w:tcPr>
            <w:tcW w:w="850" w:type="dxa"/>
            <w:vMerge w:val="continue"/>
          </w:tcPr>
          <w:p w14:paraId="050FBCD9">
            <w:pPr>
              <w:widowControl/>
              <w:jc w:val="left"/>
              <w:rPr>
                <w:rFonts w:hint="eastAsia" w:ascii="宋体" w:hAnsi="宋体" w:eastAsia="宋体" w:cs="Times New Roman"/>
                <w:kern w:val="0"/>
                <w:sz w:val="24"/>
                <w:szCs w:val="24"/>
              </w:rPr>
            </w:pPr>
          </w:p>
        </w:tc>
        <w:tc>
          <w:tcPr>
            <w:tcW w:w="850" w:type="dxa"/>
            <w:vMerge w:val="continue"/>
          </w:tcPr>
          <w:p w14:paraId="58428C56">
            <w:pPr>
              <w:widowControl/>
              <w:jc w:val="left"/>
              <w:rPr>
                <w:rFonts w:hint="eastAsia" w:ascii="宋体" w:hAnsi="宋体" w:eastAsia="宋体" w:cs="Times New Roman"/>
                <w:kern w:val="0"/>
                <w:sz w:val="24"/>
                <w:szCs w:val="24"/>
              </w:rPr>
            </w:pPr>
          </w:p>
        </w:tc>
        <w:tc>
          <w:tcPr>
            <w:tcW w:w="1277" w:type="dxa"/>
            <w:vMerge w:val="continue"/>
            <w:vAlign w:val="center"/>
          </w:tcPr>
          <w:p w14:paraId="6B4AAF21">
            <w:pPr>
              <w:widowControl/>
              <w:jc w:val="left"/>
              <w:rPr>
                <w:rFonts w:hint="eastAsia" w:ascii="宋体" w:hAnsi="宋体" w:eastAsia="宋体" w:cs="Times New Roman"/>
                <w:kern w:val="0"/>
                <w:sz w:val="24"/>
                <w:szCs w:val="24"/>
              </w:rPr>
            </w:pPr>
          </w:p>
        </w:tc>
      </w:tr>
      <w:tr w14:paraId="4F3B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shd w:val="clear" w:color="auto" w:fill="auto"/>
            <w:noWrap/>
            <w:vAlign w:val="center"/>
          </w:tcPr>
          <w:p w14:paraId="0A22542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8</w:t>
            </w:r>
          </w:p>
        </w:tc>
        <w:tc>
          <w:tcPr>
            <w:tcW w:w="1245" w:type="dxa"/>
            <w:shd w:val="clear" w:color="auto" w:fill="auto"/>
            <w:vAlign w:val="center"/>
          </w:tcPr>
          <w:p w14:paraId="620346D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2芯单模软铠装室内光缆</w:t>
            </w:r>
          </w:p>
        </w:tc>
        <w:tc>
          <w:tcPr>
            <w:tcW w:w="4105" w:type="dxa"/>
            <w:shd w:val="clear" w:color="auto" w:fill="auto"/>
            <w:vAlign w:val="center"/>
          </w:tcPr>
          <w:p w14:paraId="32C27F4D">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0.6mm着色紧包光纤x2芯；螺旋钢带铠装：外径2.1mm，单边壁厚:0.22mm； 光缆保护套：3.3mm±0.10mm，单边厚度：0.40mm；最大衰减：0.4dB/km@1310nm； 0.3dB/km@1550nm；工作稳温度：低烟无卤（LSZH） -40℃至+85℃；光缆外径：3.3mm±0.10mm</w:t>
            </w:r>
          </w:p>
        </w:tc>
        <w:tc>
          <w:tcPr>
            <w:tcW w:w="851" w:type="dxa"/>
            <w:shd w:val="clear" w:color="auto" w:fill="auto"/>
            <w:noWrap/>
            <w:vAlign w:val="center"/>
          </w:tcPr>
          <w:p w14:paraId="6A9A7FD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3540</w:t>
            </w:r>
          </w:p>
        </w:tc>
        <w:tc>
          <w:tcPr>
            <w:tcW w:w="992" w:type="dxa"/>
            <w:shd w:val="clear" w:color="auto" w:fill="auto"/>
            <w:noWrap/>
            <w:vAlign w:val="center"/>
          </w:tcPr>
          <w:p w14:paraId="4427574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米</w:t>
            </w:r>
          </w:p>
        </w:tc>
        <w:tc>
          <w:tcPr>
            <w:tcW w:w="850" w:type="dxa"/>
          </w:tcPr>
          <w:p w14:paraId="0DBD0833">
            <w:pPr>
              <w:widowControl/>
              <w:jc w:val="center"/>
              <w:rPr>
                <w:rFonts w:hint="eastAsia" w:ascii="宋体" w:hAnsi="宋体" w:eastAsia="宋体" w:cs="Times New Roman"/>
                <w:kern w:val="0"/>
                <w:sz w:val="24"/>
                <w:szCs w:val="24"/>
              </w:rPr>
            </w:pPr>
          </w:p>
        </w:tc>
        <w:tc>
          <w:tcPr>
            <w:tcW w:w="850" w:type="dxa"/>
          </w:tcPr>
          <w:p w14:paraId="2A5DC669">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344B7E5B">
            <w:pPr>
              <w:widowControl/>
              <w:jc w:val="center"/>
              <w:rPr>
                <w:rFonts w:hint="eastAsia" w:ascii="宋体" w:hAnsi="宋体" w:eastAsia="宋体" w:cs="Times New Roman"/>
                <w:kern w:val="0"/>
                <w:sz w:val="24"/>
                <w:szCs w:val="24"/>
              </w:rPr>
            </w:pPr>
          </w:p>
        </w:tc>
      </w:tr>
      <w:tr w14:paraId="41D4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457" w:type="dxa"/>
            <w:shd w:val="clear" w:color="auto" w:fill="auto"/>
            <w:noWrap/>
            <w:vAlign w:val="center"/>
          </w:tcPr>
          <w:p w14:paraId="2E4BD13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9</w:t>
            </w:r>
          </w:p>
        </w:tc>
        <w:tc>
          <w:tcPr>
            <w:tcW w:w="1245" w:type="dxa"/>
            <w:shd w:val="clear" w:color="auto" w:fill="auto"/>
            <w:vAlign w:val="center"/>
          </w:tcPr>
          <w:p w14:paraId="2DA53545">
            <w:pPr>
              <w:widowControl/>
              <w:jc w:val="center"/>
              <w:rPr>
                <w:rFonts w:hint="eastAsia" w:ascii="宋体" w:hAnsi="宋体" w:eastAsia="宋体" w:cs="Times New Roman"/>
                <w:color w:val="000000"/>
                <w:kern w:val="0"/>
                <w:sz w:val="24"/>
                <w:szCs w:val="24"/>
              </w:rPr>
            </w:pPr>
            <w:r>
              <w:rPr>
                <w:rFonts w:ascii="宋体" w:hAnsi="宋体" w:eastAsia="宋体" w:cs="Times New Roman"/>
                <w:color w:val="000000"/>
                <w:kern w:val="0"/>
                <w:sz w:val="24"/>
                <w:szCs w:val="24"/>
              </w:rPr>
              <w:t>12芯室外单模铠装光缆</w:t>
            </w:r>
          </w:p>
        </w:tc>
        <w:tc>
          <w:tcPr>
            <w:tcW w:w="4105" w:type="dxa"/>
            <w:shd w:val="clear" w:color="auto" w:fill="auto"/>
            <w:vAlign w:val="center"/>
          </w:tcPr>
          <w:p w14:paraId="35F96432">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符合标准：YD/T901-2018 光纤衰减：@1310nm ≤0.36 dB/km，@1550nm ≤0.22 dB/km；光纤规格：B1.3（G652D）；包层不圆度：≤1％ 模场直径（MDF）：@1310nm 9.2±0.4μm；光纤折射率：@1310nm  1.466，@1550nm  1.467 铠装层：双面涂塑铝带+双面涂塑钢带 中心加强件： 磷化圆钢丝 静态/动态弯曲半径： 10D/20D 允许压扁力(长期/短期)（N/100mm）： 1000/3000 允许拉伸力(长期/短期)（N）：1000/3000 光缆芯数：12芯</w:t>
            </w:r>
          </w:p>
        </w:tc>
        <w:tc>
          <w:tcPr>
            <w:tcW w:w="851" w:type="dxa"/>
            <w:shd w:val="clear" w:color="auto" w:fill="auto"/>
            <w:noWrap/>
            <w:vAlign w:val="center"/>
          </w:tcPr>
          <w:p w14:paraId="3B859A9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1050</w:t>
            </w:r>
          </w:p>
        </w:tc>
        <w:tc>
          <w:tcPr>
            <w:tcW w:w="992" w:type="dxa"/>
            <w:shd w:val="clear" w:color="auto" w:fill="auto"/>
            <w:noWrap/>
            <w:vAlign w:val="center"/>
          </w:tcPr>
          <w:p w14:paraId="0F89920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米</w:t>
            </w:r>
          </w:p>
        </w:tc>
        <w:tc>
          <w:tcPr>
            <w:tcW w:w="850" w:type="dxa"/>
          </w:tcPr>
          <w:p w14:paraId="482768C6">
            <w:pPr>
              <w:widowControl/>
              <w:jc w:val="center"/>
              <w:rPr>
                <w:rFonts w:hint="eastAsia" w:ascii="宋体" w:hAnsi="宋体" w:eastAsia="宋体" w:cs="Times New Roman"/>
                <w:kern w:val="0"/>
                <w:sz w:val="24"/>
                <w:szCs w:val="24"/>
              </w:rPr>
            </w:pPr>
          </w:p>
        </w:tc>
        <w:tc>
          <w:tcPr>
            <w:tcW w:w="850" w:type="dxa"/>
          </w:tcPr>
          <w:p w14:paraId="68B56C6B">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2BB46007">
            <w:pPr>
              <w:widowControl/>
              <w:jc w:val="center"/>
              <w:rPr>
                <w:rFonts w:hint="eastAsia" w:ascii="宋体" w:hAnsi="宋体" w:eastAsia="宋体" w:cs="Times New Roman"/>
                <w:kern w:val="0"/>
                <w:sz w:val="24"/>
                <w:szCs w:val="24"/>
              </w:rPr>
            </w:pPr>
          </w:p>
        </w:tc>
      </w:tr>
      <w:tr w14:paraId="79CB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shd w:val="clear" w:color="auto" w:fill="auto"/>
            <w:noWrap/>
            <w:vAlign w:val="center"/>
          </w:tcPr>
          <w:p w14:paraId="1786F4E9">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10</w:t>
            </w:r>
          </w:p>
        </w:tc>
        <w:tc>
          <w:tcPr>
            <w:tcW w:w="1245" w:type="dxa"/>
            <w:shd w:val="clear" w:color="auto" w:fill="auto"/>
            <w:vAlign w:val="center"/>
          </w:tcPr>
          <w:p w14:paraId="2F6E4BA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六类网线</w:t>
            </w:r>
          </w:p>
        </w:tc>
        <w:tc>
          <w:tcPr>
            <w:tcW w:w="4105" w:type="dxa"/>
            <w:shd w:val="clear" w:color="auto" w:fill="auto"/>
            <w:vAlign w:val="center"/>
          </w:tcPr>
          <w:p w14:paraId="35588083">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国标非屏蔽网线；绝缘层：高密度聚乙烯（HDPE）厚度：0.2mm；外护套：聚氯乙烯（PVC）或低烟无卤聚烯烃（LSZH)厚度：0.55mm；线缆外径：6.3mm；最大电容：≤5.6nF/100m；特性阻抗: (f：1-250MHz)100±15Ω</w:t>
            </w:r>
          </w:p>
        </w:tc>
        <w:tc>
          <w:tcPr>
            <w:tcW w:w="851" w:type="dxa"/>
            <w:shd w:val="clear" w:color="auto" w:fill="auto"/>
            <w:noWrap/>
            <w:vAlign w:val="center"/>
          </w:tcPr>
          <w:p w14:paraId="1F46E25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12</w:t>
            </w:r>
          </w:p>
        </w:tc>
        <w:tc>
          <w:tcPr>
            <w:tcW w:w="992" w:type="dxa"/>
            <w:shd w:val="clear" w:color="auto" w:fill="auto"/>
            <w:noWrap/>
            <w:vAlign w:val="center"/>
          </w:tcPr>
          <w:p w14:paraId="7D6587F4">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箱</w:t>
            </w:r>
          </w:p>
        </w:tc>
        <w:tc>
          <w:tcPr>
            <w:tcW w:w="850" w:type="dxa"/>
          </w:tcPr>
          <w:p w14:paraId="21DF3B8C">
            <w:pPr>
              <w:widowControl/>
              <w:jc w:val="center"/>
              <w:rPr>
                <w:rFonts w:hint="eastAsia" w:ascii="宋体" w:hAnsi="宋体" w:eastAsia="宋体" w:cs="Times New Roman"/>
                <w:kern w:val="0"/>
                <w:sz w:val="24"/>
                <w:szCs w:val="24"/>
              </w:rPr>
            </w:pPr>
          </w:p>
        </w:tc>
        <w:tc>
          <w:tcPr>
            <w:tcW w:w="850" w:type="dxa"/>
          </w:tcPr>
          <w:p w14:paraId="7D9BAD08">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3B1D9ADF">
            <w:pPr>
              <w:widowControl/>
              <w:jc w:val="center"/>
              <w:rPr>
                <w:rFonts w:hint="eastAsia" w:ascii="宋体" w:hAnsi="宋体" w:eastAsia="宋体" w:cs="Times New Roman"/>
                <w:kern w:val="0"/>
                <w:sz w:val="24"/>
                <w:szCs w:val="24"/>
              </w:rPr>
            </w:pPr>
          </w:p>
        </w:tc>
      </w:tr>
      <w:tr w14:paraId="5010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shd w:val="clear" w:color="auto" w:fill="auto"/>
            <w:noWrap/>
            <w:vAlign w:val="center"/>
          </w:tcPr>
          <w:p w14:paraId="00BCC0A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11</w:t>
            </w:r>
          </w:p>
        </w:tc>
        <w:tc>
          <w:tcPr>
            <w:tcW w:w="1245" w:type="dxa"/>
            <w:shd w:val="clear" w:color="auto" w:fill="auto"/>
            <w:vAlign w:val="center"/>
          </w:tcPr>
          <w:p w14:paraId="6436C81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六类水晶头</w:t>
            </w:r>
          </w:p>
        </w:tc>
        <w:tc>
          <w:tcPr>
            <w:tcW w:w="4105" w:type="dxa"/>
            <w:shd w:val="clear" w:color="auto" w:fill="auto"/>
            <w:vAlign w:val="center"/>
          </w:tcPr>
          <w:p w14:paraId="24A7E265">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塑塑胶壳：聚碳酸脂，UL-94-VO or UL-94-V2；金片：铜合金；导体：单股线26AWG；芯线直径：Φ96～Φ1.02均可适用；绝缘电阻≥100MΩ；耐力测试：至少150次之插拔测试</w:t>
            </w:r>
          </w:p>
        </w:tc>
        <w:tc>
          <w:tcPr>
            <w:tcW w:w="851" w:type="dxa"/>
            <w:shd w:val="clear" w:color="auto" w:fill="auto"/>
            <w:noWrap/>
            <w:vAlign w:val="center"/>
          </w:tcPr>
          <w:p w14:paraId="57A5042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336</w:t>
            </w:r>
          </w:p>
        </w:tc>
        <w:tc>
          <w:tcPr>
            <w:tcW w:w="992" w:type="dxa"/>
            <w:shd w:val="clear" w:color="auto" w:fill="auto"/>
            <w:noWrap/>
            <w:vAlign w:val="center"/>
          </w:tcPr>
          <w:p w14:paraId="709DF0C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850" w:type="dxa"/>
          </w:tcPr>
          <w:p w14:paraId="6698C8E3">
            <w:pPr>
              <w:widowControl/>
              <w:jc w:val="center"/>
              <w:rPr>
                <w:rFonts w:hint="eastAsia" w:ascii="宋体" w:hAnsi="宋体" w:eastAsia="宋体" w:cs="Times New Roman"/>
                <w:kern w:val="0"/>
                <w:sz w:val="24"/>
                <w:szCs w:val="24"/>
              </w:rPr>
            </w:pPr>
          </w:p>
        </w:tc>
        <w:tc>
          <w:tcPr>
            <w:tcW w:w="850" w:type="dxa"/>
          </w:tcPr>
          <w:p w14:paraId="28D121C0">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762A4E71">
            <w:pPr>
              <w:widowControl/>
              <w:jc w:val="center"/>
              <w:rPr>
                <w:rFonts w:hint="eastAsia" w:ascii="宋体" w:hAnsi="宋体" w:eastAsia="宋体" w:cs="Times New Roman"/>
                <w:kern w:val="0"/>
                <w:sz w:val="24"/>
                <w:szCs w:val="24"/>
              </w:rPr>
            </w:pPr>
          </w:p>
        </w:tc>
      </w:tr>
      <w:tr w14:paraId="136D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7" w:type="dxa"/>
            <w:shd w:val="clear" w:color="auto" w:fill="auto"/>
            <w:noWrap/>
            <w:vAlign w:val="center"/>
          </w:tcPr>
          <w:p w14:paraId="173E4E6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12</w:t>
            </w:r>
          </w:p>
        </w:tc>
        <w:tc>
          <w:tcPr>
            <w:tcW w:w="1245" w:type="dxa"/>
            <w:shd w:val="clear" w:color="auto" w:fill="auto"/>
            <w:vAlign w:val="center"/>
          </w:tcPr>
          <w:p w14:paraId="4C5288B4">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多媒体箱（单开门）</w:t>
            </w:r>
          </w:p>
        </w:tc>
        <w:tc>
          <w:tcPr>
            <w:tcW w:w="4105" w:type="dxa"/>
            <w:shd w:val="clear" w:color="auto" w:fill="auto"/>
            <w:vAlign w:val="center"/>
          </w:tcPr>
          <w:p w14:paraId="15533F94">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尺寸：≤370*420*110mm （高*宽*深）；钢板壁厚≥1.2mm,配置锁芯、插排、熔接等配件材料；采用优质钣金材质，表面静电喷涂，有较好的机械强度，外型美观大方，坚固耐用；箱体采用强、弱电分离的进线方式；箱体内配备背板，支持ONU设备端口向下壁挂安装于多媒体箱内部；箱体底部具备观察孔，无需开箱即可观察设备运行指示灯，实现快速维护；满足光纤弯曲半径大于30mm，具有安全可靠的光纤接续</w:t>
            </w:r>
          </w:p>
        </w:tc>
        <w:tc>
          <w:tcPr>
            <w:tcW w:w="851" w:type="dxa"/>
            <w:shd w:val="clear" w:color="auto" w:fill="auto"/>
            <w:noWrap/>
            <w:vAlign w:val="center"/>
          </w:tcPr>
          <w:p w14:paraId="35BAD09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23</w:t>
            </w:r>
          </w:p>
        </w:tc>
        <w:tc>
          <w:tcPr>
            <w:tcW w:w="992" w:type="dxa"/>
            <w:shd w:val="clear" w:color="auto" w:fill="auto"/>
            <w:noWrap/>
            <w:vAlign w:val="center"/>
          </w:tcPr>
          <w:p w14:paraId="5AE19AD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850" w:type="dxa"/>
          </w:tcPr>
          <w:p w14:paraId="071F716B">
            <w:pPr>
              <w:widowControl/>
              <w:jc w:val="center"/>
              <w:rPr>
                <w:rFonts w:hint="eastAsia" w:ascii="宋体" w:hAnsi="宋体" w:eastAsia="宋体" w:cs="Times New Roman"/>
                <w:kern w:val="0"/>
                <w:sz w:val="24"/>
                <w:szCs w:val="24"/>
              </w:rPr>
            </w:pPr>
          </w:p>
        </w:tc>
        <w:tc>
          <w:tcPr>
            <w:tcW w:w="850" w:type="dxa"/>
          </w:tcPr>
          <w:p w14:paraId="33E86702">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1BFEA784">
            <w:pPr>
              <w:widowControl/>
              <w:jc w:val="center"/>
              <w:rPr>
                <w:rFonts w:hint="eastAsia" w:ascii="宋体" w:hAnsi="宋体" w:eastAsia="宋体" w:cs="Times New Roman"/>
                <w:kern w:val="0"/>
                <w:sz w:val="24"/>
                <w:szCs w:val="24"/>
              </w:rPr>
            </w:pPr>
          </w:p>
        </w:tc>
      </w:tr>
      <w:tr w14:paraId="496D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7" w:type="dxa"/>
            <w:shd w:val="clear" w:color="auto" w:fill="auto"/>
            <w:noWrap/>
            <w:vAlign w:val="center"/>
          </w:tcPr>
          <w:p w14:paraId="5F2E473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13</w:t>
            </w:r>
          </w:p>
        </w:tc>
        <w:tc>
          <w:tcPr>
            <w:tcW w:w="1245" w:type="dxa"/>
            <w:shd w:val="clear" w:color="auto" w:fill="auto"/>
            <w:vAlign w:val="center"/>
          </w:tcPr>
          <w:p w14:paraId="0D6E49F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2口熔接盒（SC口）</w:t>
            </w:r>
          </w:p>
        </w:tc>
        <w:tc>
          <w:tcPr>
            <w:tcW w:w="4105" w:type="dxa"/>
            <w:shd w:val="clear" w:color="auto" w:fill="auto"/>
            <w:vAlign w:val="center"/>
          </w:tcPr>
          <w:p w14:paraId="5B186BC9">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端口数：2口（SC口）；熔纤量：最大为2芯；尺寸：≤120*70*35mm(长宽厚)；材质：采用优质钣金，表面静电喷涂</w:t>
            </w:r>
          </w:p>
        </w:tc>
        <w:tc>
          <w:tcPr>
            <w:tcW w:w="851" w:type="dxa"/>
            <w:shd w:val="clear" w:color="auto" w:fill="auto"/>
            <w:noWrap/>
            <w:vAlign w:val="center"/>
          </w:tcPr>
          <w:p w14:paraId="52EBDCC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32</w:t>
            </w:r>
          </w:p>
        </w:tc>
        <w:tc>
          <w:tcPr>
            <w:tcW w:w="992" w:type="dxa"/>
            <w:shd w:val="clear" w:color="auto" w:fill="auto"/>
            <w:noWrap/>
            <w:vAlign w:val="center"/>
          </w:tcPr>
          <w:p w14:paraId="3D829C0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850" w:type="dxa"/>
          </w:tcPr>
          <w:p w14:paraId="55896D43">
            <w:pPr>
              <w:widowControl/>
              <w:jc w:val="center"/>
              <w:rPr>
                <w:rFonts w:hint="eastAsia" w:ascii="宋体" w:hAnsi="宋体" w:eastAsia="宋体" w:cs="Times New Roman"/>
                <w:kern w:val="0"/>
                <w:sz w:val="24"/>
                <w:szCs w:val="24"/>
              </w:rPr>
            </w:pPr>
          </w:p>
        </w:tc>
        <w:tc>
          <w:tcPr>
            <w:tcW w:w="850" w:type="dxa"/>
          </w:tcPr>
          <w:p w14:paraId="0ED812F5">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56A9C164">
            <w:pPr>
              <w:widowControl/>
              <w:jc w:val="center"/>
              <w:rPr>
                <w:rFonts w:hint="eastAsia" w:ascii="宋体" w:hAnsi="宋体" w:eastAsia="宋体" w:cs="Times New Roman"/>
                <w:kern w:val="0"/>
                <w:sz w:val="24"/>
                <w:szCs w:val="24"/>
              </w:rPr>
            </w:pPr>
          </w:p>
        </w:tc>
      </w:tr>
      <w:tr w14:paraId="4724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shd w:val="clear" w:color="auto" w:fill="auto"/>
            <w:noWrap/>
            <w:vAlign w:val="center"/>
          </w:tcPr>
          <w:p w14:paraId="75B093A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14</w:t>
            </w:r>
          </w:p>
        </w:tc>
        <w:tc>
          <w:tcPr>
            <w:tcW w:w="1245" w:type="dxa"/>
            <w:shd w:val="clear" w:color="auto" w:fill="auto"/>
            <w:vAlign w:val="center"/>
          </w:tcPr>
          <w:p w14:paraId="121D9B8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SC法兰盘</w:t>
            </w:r>
          </w:p>
        </w:tc>
        <w:tc>
          <w:tcPr>
            <w:tcW w:w="4105" w:type="dxa"/>
            <w:shd w:val="clear" w:color="auto" w:fill="auto"/>
            <w:vAlign w:val="center"/>
          </w:tcPr>
          <w:p w14:paraId="14E366ED">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SC单模法兰盘；材料：陶瓷套管；插入损耗（含重复性）：≤0.2dB；重复性：≥500次；互换性：≤0.2dB</w:t>
            </w:r>
          </w:p>
        </w:tc>
        <w:tc>
          <w:tcPr>
            <w:tcW w:w="851" w:type="dxa"/>
            <w:shd w:val="clear" w:color="auto" w:fill="auto"/>
            <w:noWrap/>
            <w:vAlign w:val="center"/>
          </w:tcPr>
          <w:p w14:paraId="72F05B6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176</w:t>
            </w:r>
          </w:p>
        </w:tc>
        <w:tc>
          <w:tcPr>
            <w:tcW w:w="992" w:type="dxa"/>
            <w:shd w:val="clear" w:color="auto" w:fill="auto"/>
            <w:noWrap/>
            <w:vAlign w:val="center"/>
          </w:tcPr>
          <w:p w14:paraId="09EE647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850" w:type="dxa"/>
          </w:tcPr>
          <w:p w14:paraId="4AC711EF">
            <w:pPr>
              <w:widowControl/>
              <w:jc w:val="center"/>
              <w:rPr>
                <w:rFonts w:hint="eastAsia" w:ascii="宋体" w:hAnsi="宋体" w:eastAsia="宋体" w:cs="Times New Roman"/>
                <w:kern w:val="0"/>
                <w:sz w:val="24"/>
                <w:szCs w:val="24"/>
              </w:rPr>
            </w:pPr>
          </w:p>
        </w:tc>
        <w:tc>
          <w:tcPr>
            <w:tcW w:w="850" w:type="dxa"/>
          </w:tcPr>
          <w:p w14:paraId="6E3A5348">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1990128D">
            <w:pPr>
              <w:widowControl/>
              <w:jc w:val="center"/>
              <w:rPr>
                <w:rFonts w:hint="eastAsia" w:ascii="宋体" w:hAnsi="宋体" w:eastAsia="宋体" w:cs="Times New Roman"/>
                <w:kern w:val="0"/>
                <w:sz w:val="24"/>
                <w:szCs w:val="24"/>
              </w:rPr>
            </w:pPr>
          </w:p>
        </w:tc>
      </w:tr>
      <w:tr w14:paraId="1F3D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shd w:val="clear" w:color="auto" w:fill="auto"/>
            <w:noWrap/>
            <w:vAlign w:val="center"/>
          </w:tcPr>
          <w:p w14:paraId="5D767AFA">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15</w:t>
            </w:r>
          </w:p>
        </w:tc>
        <w:tc>
          <w:tcPr>
            <w:tcW w:w="1245" w:type="dxa"/>
            <w:shd w:val="clear" w:color="auto" w:fill="auto"/>
            <w:vAlign w:val="center"/>
          </w:tcPr>
          <w:p w14:paraId="2558B01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SC单芯尾纤</w:t>
            </w:r>
          </w:p>
        </w:tc>
        <w:tc>
          <w:tcPr>
            <w:tcW w:w="4105" w:type="dxa"/>
            <w:shd w:val="clear" w:color="auto" w:fill="auto"/>
            <w:vAlign w:val="center"/>
          </w:tcPr>
          <w:p w14:paraId="566787EA">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SC单模单芯尾纤；依工业标准100%光学测试；低插入损耗，高回波损耗；重复插拔测试：≤0.25dB，每500次插拔</w:t>
            </w:r>
          </w:p>
        </w:tc>
        <w:tc>
          <w:tcPr>
            <w:tcW w:w="851" w:type="dxa"/>
            <w:shd w:val="clear" w:color="auto" w:fill="auto"/>
            <w:noWrap/>
            <w:vAlign w:val="center"/>
          </w:tcPr>
          <w:p w14:paraId="5CD612F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176</w:t>
            </w:r>
          </w:p>
        </w:tc>
        <w:tc>
          <w:tcPr>
            <w:tcW w:w="992" w:type="dxa"/>
            <w:shd w:val="clear" w:color="auto" w:fill="auto"/>
            <w:noWrap/>
            <w:vAlign w:val="center"/>
          </w:tcPr>
          <w:p w14:paraId="1BA3853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850" w:type="dxa"/>
          </w:tcPr>
          <w:p w14:paraId="10DB3297">
            <w:pPr>
              <w:widowControl/>
              <w:jc w:val="center"/>
              <w:rPr>
                <w:rFonts w:hint="eastAsia" w:ascii="宋体" w:hAnsi="宋体" w:eastAsia="宋体" w:cs="Times New Roman"/>
                <w:kern w:val="0"/>
                <w:sz w:val="24"/>
                <w:szCs w:val="24"/>
              </w:rPr>
            </w:pPr>
          </w:p>
        </w:tc>
        <w:tc>
          <w:tcPr>
            <w:tcW w:w="850" w:type="dxa"/>
          </w:tcPr>
          <w:p w14:paraId="01B374D9">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6B39B0B8">
            <w:pPr>
              <w:widowControl/>
              <w:jc w:val="center"/>
              <w:rPr>
                <w:rFonts w:hint="eastAsia" w:ascii="宋体" w:hAnsi="宋体" w:eastAsia="宋体" w:cs="Times New Roman"/>
                <w:kern w:val="0"/>
                <w:sz w:val="24"/>
                <w:szCs w:val="24"/>
              </w:rPr>
            </w:pPr>
          </w:p>
        </w:tc>
      </w:tr>
      <w:tr w14:paraId="2CB5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7" w:type="dxa"/>
            <w:shd w:val="clear" w:color="auto" w:fill="auto"/>
            <w:noWrap/>
            <w:vAlign w:val="center"/>
          </w:tcPr>
          <w:p w14:paraId="12F3967A">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16</w:t>
            </w:r>
          </w:p>
        </w:tc>
        <w:tc>
          <w:tcPr>
            <w:tcW w:w="1245" w:type="dxa"/>
            <w:shd w:val="clear" w:color="auto" w:fill="auto"/>
            <w:vAlign w:val="center"/>
          </w:tcPr>
          <w:p w14:paraId="25E0756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SC-SC-60公分-普通-单模光纤跳线</w:t>
            </w:r>
          </w:p>
        </w:tc>
        <w:tc>
          <w:tcPr>
            <w:tcW w:w="4105" w:type="dxa"/>
            <w:shd w:val="clear" w:color="auto" w:fill="auto"/>
            <w:vAlign w:val="center"/>
          </w:tcPr>
          <w:p w14:paraId="2F03C06A">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SC-SC-60公分单模；接头材料：陶瓷套管；重复插拔：≤0.2dB，每500次插拔；插入损耗：SM≤0.3dB，MM≤0.3dB；回波损耗：≥50dB</w:t>
            </w:r>
          </w:p>
        </w:tc>
        <w:tc>
          <w:tcPr>
            <w:tcW w:w="851" w:type="dxa"/>
            <w:shd w:val="clear" w:color="auto" w:fill="auto"/>
            <w:noWrap/>
            <w:vAlign w:val="center"/>
          </w:tcPr>
          <w:p w14:paraId="3DF9627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32</w:t>
            </w:r>
          </w:p>
        </w:tc>
        <w:tc>
          <w:tcPr>
            <w:tcW w:w="992" w:type="dxa"/>
            <w:shd w:val="clear" w:color="auto" w:fill="auto"/>
            <w:noWrap/>
            <w:vAlign w:val="center"/>
          </w:tcPr>
          <w:p w14:paraId="234480A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850" w:type="dxa"/>
          </w:tcPr>
          <w:p w14:paraId="13E9CEDD">
            <w:pPr>
              <w:widowControl/>
              <w:jc w:val="center"/>
              <w:rPr>
                <w:rFonts w:hint="eastAsia" w:ascii="宋体" w:hAnsi="宋体" w:eastAsia="宋体" w:cs="Times New Roman"/>
                <w:kern w:val="0"/>
                <w:sz w:val="24"/>
                <w:szCs w:val="24"/>
              </w:rPr>
            </w:pPr>
          </w:p>
        </w:tc>
        <w:tc>
          <w:tcPr>
            <w:tcW w:w="850" w:type="dxa"/>
          </w:tcPr>
          <w:p w14:paraId="0DA2886C">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16072F7A">
            <w:pPr>
              <w:widowControl/>
              <w:jc w:val="center"/>
              <w:rPr>
                <w:rFonts w:hint="eastAsia" w:ascii="宋体" w:hAnsi="宋体" w:eastAsia="宋体" w:cs="Times New Roman"/>
                <w:kern w:val="0"/>
                <w:sz w:val="24"/>
                <w:szCs w:val="24"/>
              </w:rPr>
            </w:pPr>
          </w:p>
        </w:tc>
      </w:tr>
      <w:tr w14:paraId="1A42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7" w:type="dxa"/>
            <w:shd w:val="clear" w:color="auto" w:fill="auto"/>
            <w:noWrap/>
            <w:vAlign w:val="center"/>
          </w:tcPr>
          <w:p w14:paraId="3AE8640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17</w:t>
            </w:r>
          </w:p>
        </w:tc>
        <w:tc>
          <w:tcPr>
            <w:tcW w:w="1245" w:type="dxa"/>
            <w:shd w:val="clear" w:color="auto" w:fill="auto"/>
            <w:vAlign w:val="center"/>
          </w:tcPr>
          <w:p w14:paraId="005344AE">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SC-SC-1米-可寻线-单模光纤跳线</w:t>
            </w:r>
          </w:p>
        </w:tc>
        <w:tc>
          <w:tcPr>
            <w:tcW w:w="4105" w:type="dxa"/>
            <w:shd w:val="clear" w:color="auto" w:fill="auto"/>
            <w:vAlign w:val="center"/>
          </w:tcPr>
          <w:p w14:paraId="157E87A7">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SC-SC-1米单模；接头材料：陶瓷套管；重复插拔：≤0.2dB，每500次插拔；插入损耗：SM≤0.3dB，MM≤0.3dB；回波损耗：≥50dB。</w:t>
            </w:r>
          </w:p>
          <w:p w14:paraId="3226CD3D">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线缆结构有原来的基础上增加了导光光纤，内置导光光纤，在两端线身上留有光源输入口，无需拔插可通过任意的可见光照明装置快速定位线缆两端的关系（提供对应寻线功能的CNAS认证的第三方机构的检测报告）</w:t>
            </w:r>
          </w:p>
        </w:tc>
        <w:tc>
          <w:tcPr>
            <w:tcW w:w="851" w:type="dxa"/>
            <w:shd w:val="clear" w:color="auto" w:fill="auto"/>
            <w:noWrap/>
            <w:vAlign w:val="center"/>
          </w:tcPr>
          <w:p w14:paraId="159C6E84">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42</w:t>
            </w:r>
          </w:p>
        </w:tc>
        <w:tc>
          <w:tcPr>
            <w:tcW w:w="992" w:type="dxa"/>
            <w:shd w:val="clear" w:color="auto" w:fill="auto"/>
            <w:noWrap/>
            <w:vAlign w:val="center"/>
          </w:tcPr>
          <w:p w14:paraId="2D48835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850" w:type="dxa"/>
          </w:tcPr>
          <w:p w14:paraId="3AFEE42F">
            <w:pPr>
              <w:widowControl/>
              <w:jc w:val="center"/>
              <w:rPr>
                <w:rFonts w:hint="eastAsia" w:ascii="宋体" w:hAnsi="宋体" w:eastAsia="宋体" w:cs="Times New Roman"/>
                <w:kern w:val="0"/>
                <w:sz w:val="24"/>
                <w:szCs w:val="24"/>
              </w:rPr>
            </w:pPr>
          </w:p>
        </w:tc>
        <w:tc>
          <w:tcPr>
            <w:tcW w:w="850" w:type="dxa"/>
          </w:tcPr>
          <w:p w14:paraId="6A95AA02">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51E35BB9">
            <w:pPr>
              <w:widowControl/>
              <w:jc w:val="center"/>
              <w:rPr>
                <w:rFonts w:hint="eastAsia" w:ascii="宋体" w:hAnsi="宋体" w:eastAsia="宋体" w:cs="Times New Roman"/>
                <w:kern w:val="0"/>
                <w:sz w:val="24"/>
                <w:szCs w:val="24"/>
              </w:rPr>
            </w:pPr>
          </w:p>
        </w:tc>
      </w:tr>
      <w:tr w14:paraId="358B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7" w:type="dxa"/>
            <w:shd w:val="clear" w:color="auto" w:fill="auto"/>
            <w:noWrap/>
            <w:vAlign w:val="center"/>
          </w:tcPr>
          <w:p w14:paraId="0B1E433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18</w:t>
            </w:r>
          </w:p>
        </w:tc>
        <w:tc>
          <w:tcPr>
            <w:tcW w:w="1245" w:type="dxa"/>
            <w:shd w:val="clear" w:color="auto" w:fill="auto"/>
            <w:vAlign w:val="center"/>
          </w:tcPr>
          <w:p w14:paraId="23053CB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SC-SC-3米-可寻线-单模光纤跳线</w:t>
            </w:r>
          </w:p>
        </w:tc>
        <w:tc>
          <w:tcPr>
            <w:tcW w:w="4105" w:type="dxa"/>
            <w:shd w:val="clear" w:color="auto" w:fill="auto"/>
            <w:vAlign w:val="center"/>
          </w:tcPr>
          <w:p w14:paraId="1AF6367C">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SC-SC-3米单模；接头材料：陶瓷套管；重复插拔：≤0.2dB，每500次插拔；插入损耗：SM≤0.3dB，MM≤0.3dB；回波损耗：≥50dB。</w:t>
            </w:r>
          </w:p>
          <w:p w14:paraId="7294E0E6">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线缆结构有原来的基础上增加了导光光纤，内置导光光纤，在两端线身上留有光源输入口，无需拔插可通过任意的可见光照明装置快速定位线缆两端的关系（提供对应寻线功能的CNAS认证的第三方机构的检测报告）</w:t>
            </w:r>
          </w:p>
        </w:tc>
        <w:tc>
          <w:tcPr>
            <w:tcW w:w="851" w:type="dxa"/>
            <w:shd w:val="clear" w:color="auto" w:fill="auto"/>
            <w:noWrap/>
            <w:vAlign w:val="center"/>
          </w:tcPr>
          <w:p w14:paraId="5484DE0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w:t>
            </w:r>
          </w:p>
        </w:tc>
        <w:tc>
          <w:tcPr>
            <w:tcW w:w="992" w:type="dxa"/>
            <w:shd w:val="clear" w:color="auto" w:fill="auto"/>
            <w:noWrap/>
            <w:vAlign w:val="center"/>
          </w:tcPr>
          <w:p w14:paraId="0847745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850" w:type="dxa"/>
          </w:tcPr>
          <w:p w14:paraId="7F60D593">
            <w:pPr>
              <w:widowControl/>
              <w:jc w:val="center"/>
              <w:rPr>
                <w:rFonts w:hint="eastAsia" w:ascii="宋体" w:hAnsi="宋体" w:eastAsia="宋体" w:cs="Times New Roman"/>
                <w:kern w:val="0"/>
                <w:sz w:val="24"/>
                <w:szCs w:val="24"/>
              </w:rPr>
            </w:pPr>
          </w:p>
        </w:tc>
        <w:tc>
          <w:tcPr>
            <w:tcW w:w="850" w:type="dxa"/>
          </w:tcPr>
          <w:p w14:paraId="6BA519E4">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3847CCE2">
            <w:pPr>
              <w:widowControl/>
              <w:jc w:val="center"/>
              <w:rPr>
                <w:rFonts w:hint="eastAsia" w:ascii="宋体" w:hAnsi="宋体" w:eastAsia="宋体" w:cs="Times New Roman"/>
                <w:kern w:val="0"/>
                <w:sz w:val="24"/>
                <w:szCs w:val="24"/>
              </w:rPr>
            </w:pPr>
          </w:p>
        </w:tc>
      </w:tr>
      <w:tr w14:paraId="3603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7" w:type="dxa"/>
            <w:shd w:val="clear" w:color="auto" w:fill="auto"/>
            <w:noWrap/>
            <w:vAlign w:val="center"/>
          </w:tcPr>
          <w:p w14:paraId="4CEA7D47">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19</w:t>
            </w:r>
          </w:p>
        </w:tc>
        <w:tc>
          <w:tcPr>
            <w:tcW w:w="1245" w:type="dxa"/>
            <w:shd w:val="clear" w:color="auto" w:fill="auto"/>
            <w:vAlign w:val="center"/>
          </w:tcPr>
          <w:p w14:paraId="5AD4F71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SC-SC-10米-可寻线-单模光纤跳线</w:t>
            </w:r>
          </w:p>
        </w:tc>
        <w:tc>
          <w:tcPr>
            <w:tcW w:w="4105" w:type="dxa"/>
            <w:shd w:val="clear" w:color="auto" w:fill="auto"/>
            <w:vAlign w:val="center"/>
          </w:tcPr>
          <w:p w14:paraId="37190A13">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SC-SC-10米单模；接头材料：陶瓷套管；重复插拔：≤0.2dB，每500次插拔；插入损耗：SM≤0.3dB，MM≤0.3dB；回波损耗：≥50dB。</w:t>
            </w:r>
          </w:p>
          <w:p w14:paraId="56A43C04">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线缆结构有原来的基础上增加了导光光纤，内置导光光纤，在两端线身上留有光源输入口，无需拔插可通过任意的可见光照明装置快速定位线缆两端的关系（提供对应寻线功能的CNAS认证的第三方机构的检测报告）</w:t>
            </w:r>
          </w:p>
        </w:tc>
        <w:tc>
          <w:tcPr>
            <w:tcW w:w="851" w:type="dxa"/>
            <w:shd w:val="clear" w:color="auto" w:fill="auto"/>
            <w:noWrap/>
            <w:vAlign w:val="center"/>
          </w:tcPr>
          <w:p w14:paraId="759F395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4</w:t>
            </w:r>
          </w:p>
        </w:tc>
        <w:tc>
          <w:tcPr>
            <w:tcW w:w="992" w:type="dxa"/>
            <w:shd w:val="clear" w:color="auto" w:fill="auto"/>
            <w:noWrap/>
            <w:vAlign w:val="center"/>
          </w:tcPr>
          <w:p w14:paraId="7868DC2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根</w:t>
            </w:r>
          </w:p>
        </w:tc>
        <w:tc>
          <w:tcPr>
            <w:tcW w:w="850" w:type="dxa"/>
          </w:tcPr>
          <w:p w14:paraId="17187E13">
            <w:pPr>
              <w:widowControl/>
              <w:jc w:val="center"/>
              <w:rPr>
                <w:rFonts w:hint="eastAsia" w:ascii="宋体" w:hAnsi="宋体" w:eastAsia="宋体" w:cs="Times New Roman"/>
                <w:kern w:val="0"/>
                <w:sz w:val="24"/>
                <w:szCs w:val="24"/>
              </w:rPr>
            </w:pPr>
          </w:p>
        </w:tc>
        <w:tc>
          <w:tcPr>
            <w:tcW w:w="850" w:type="dxa"/>
          </w:tcPr>
          <w:p w14:paraId="0766AA29">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69D1F079">
            <w:pPr>
              <w:widowControl/>
              <w:jc w:val="center"/>
              <w:rPr>
                <w:rFonts w:hint="eastAsia" w:ascii="宋体" w:hAnsi="宋体" w:eastAsia="宋体" w:cs="Times New Roman"/>
                <w:kern w:val="0"/>
                <w:sz w:val="24"/>
                <w:szCs w:val="24"/>
              </w:rPr>
            </w:pPr>
          </w:p>
        </w:tc>
      </w:tr>
      <w:tr w14:paraId="402A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7" w:type="dxa"/>
            <w:shd w:val="clear" w:color="auto" w:fill="auto"/>
            <w:noWrap/>
            <w:vAlign w:val="center"/>
          </w:tcPr>
          <w:p w14:paraId="3354FB8A">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20</w:t>
            </w:r>
          </w:p>
        </w:tc>
        <w:tc>
          <w:tcPr>
            <w:tcW w:w="1245" w:type="dxa"/>
            <w:shd w:val="clear" w:color="auto" w:fill="auto"/>
            <w:vAlign w:val="center"/>
          </w:tcPr>
          <w:p w14:paraId="5E42B5E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2×4插片式分光器</w:t>
            </w:r>
          </w:p>
        </w:tc>
        <w:tc>
          <w:tcPr>
            <w:tcW w:w="4105" w:type="dxa"/>
            <w:shd w:val="clear" w:color="auto" w:fill="auto"/>
            <w:vAlign w:val="center"/>
          </w:tcPr>
          <w:p w14:paraId="404A01F1">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光纤类型：单模G.652/G.657；接口类型：SC/UPC；插入损耗：≤8.3dB；损耗均匀度：≤1.2dB；偏振相关损耗：≤0.3dB；回波损耗：≥50dB；波长相关损耗：≤0.5dB；损耗对光波长不敏感，可以满足不同波长的传输需要；分光均匀，可以将信号均匀分配给用户；结构紧凑，体积小，可以直接安装在现有的各种交接箱内，不需留出很大的安装空间</w:t>
            </w:r>
          </w:p>
        </w:tc>
        <w:tc>
          <w:tcPr>
            <w:tcW w:w="851" w:type="dxa"/>
            <w:shd w:val="clear" w:color="auto" w:fill="auto"/>
            <w:noWrap/>
            <w:vAlign w:val="center"/>
          </w:tcPr>
          <w:p w14:paraId="723940E8">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w:t>
            </w:r>
          </w:p>
        </w:tc>
        <w:tc>
          <w:tcPr>
            <w:tcW w:w="992" w:type="dxa"/>
            <w:shd w:val="clear" w:color="auto" w:fill="auto"/>
            <w:noWrap/>
            <w:vAlign w:val="center"/>
          </w:tcPr>
          <w:p w14:paraId="197BF3A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850" w:type="dxa"/>
          </w:tcPr>
          <w:p w14:paraId="77430AFC">
            <w:pPr>
              <w:widowControl/>
              <w:jc w:val="center"/>
              <w:rPr>
                <w:rFonts w:hint="eastAsia" w:ascii="宋体" w:hAnsi="宋体" w:eastAsia="宋体" w:cs="Times New Roman"/>
                <w:kern w:val="0"/>
                <w:sz w:val="24"/>
                <w:szCs w:val="24"/>
              </w:rPr>
            </w:pPr>
          </w:p>
        </w:tc>
        <w:tc>
          <w:tcPr>
            <w:tcW w:w="850" w:type="dxa"/>
          </w:tcPr>
          <w:p w14:paraId="2FFB4AD9">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433E17F8">
            <w:pPr>
              <w:widowControl/>
              <w:jc w:val="center"/>
              <w:rPr>
                <w:rFonts w:hint="eastAsia" w:ascii="宋体" w:hAnsi="宋体" w:eastAsia="宋体" w:cs="Times New Roman"/>
                <w:kern w:val="0"/>
                <w:sz w:val="24"/>
                <w:szCs w:val="24"/>
              </w:rPr>
            </w:pPr>
          </w:p>
        </w:tc>
      </w:tr>
      <w:tr w14:paraId="0ACA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7" w:type="dxa"/>
            <w:shd w:val="clear" w:color="auto" w:fill="auto"/>
            <w:noWrap/>
            <w:vAlign w:val="center"/>
          </w:tcPr>
          <w:p w14:paraId="31C8882F">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21</w:t>
            </w:r>
          </w:p>
        </w:tc>
        <w:tc>
          <w:tcPr>
            <w:tcW w:w="1245" w:type="dxa"/>
            <w:shd w:val="clear" w:color="auto" w:fill="auto"/>
            <w:vAlign w:val="center"/>
          </w:tcPr>
          <w:p w14:paraId="751D325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2×8插片式分光器</w:t>
            </w:r>
          </w:p>
        </w:tc>
        <w:tc>
          <w:tcPr>
            <w:tcW w:w="4105" w:type="dxa"/>
            <w:shd w:val="clear" w:color="auto" w:fill="auto"/>
            <w:vAlign w:val="center"/>
          </w:tcPr>
          <w:p w14:paraId="7C200C96">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光纤类型：单模G.652/G.657；接口类型：SC/UPC；插入损耗：≤11.2dB；损耗均匀度：≤1.5dB；偏振相关损耗：≤0.3dB；回波损耗：≥50dB；波长相关损耗：≤0.5dB；损耗对光波长不敏感，可以满足不同波长的传输需要；分光均匀，可以将信号均匀分配给用户；结构紧凑，体积小，可以直接安装在现有的各种交接箱内，不需留出很大的安装空间</w:t>
            </w:r>
          </w:p>
        </w:tc>
        <w:tc>
          <w:tcPr>
            <w:tcW w:w="851" w:type="dxa"/>
            <w:shd w:val="clear" w:color="auto" w:fill="auto"/>
            <w:noWrap/>
            <w:vAlign w:val="center"/>
          </w:tcPr>
          <w:p w14:paraId="748FDB7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3</w:t>
            </w:r>
          </w:p>
        </w:tc>
        <w:tc>
          <w:tcPr>
            <w:tcW w:w="992" w:type="dxa"/>
            <w:shd w:val="clear" w:color="auto" w:fill="auto"/>
            <w:noWrap/>
            <w:vAlign w:val="center"/>
          </w:tcPr>
          <w:p w14:paraId="4DE4342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850" w:type="dxa"/>
          </w:tcPr>
          <w:p w14:paraId="1DC7E61E">
            <w:pPr>
              <w:widowControl/>
              <w:jc w:val="center"/>
              <w:rPr>
                <w:rFonts w:hint="eastAsia" w:ascii="宋体" w:hAnsi="宋体" w:eastAsia="宋体" w:cs="Times New Roman"/>
                <w:kern w:val="0"/>
                <w:sz w:val="24"/>
                <w:szCs w:val="24"/>
              </w:rPr>
            </w:pPr>
          </w:p>
        </w:tc>
        <w:tc>
          <w:tcPr>
            <w:tcW w:w="850" w:type="dxa"/>
          </w:tcPr>
          <w:p w14:paraId="1A4928EA">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46B0E194">
            <w:pPr>
              <w:widowControl/>
              <w:jc w:val="center"/>
              <w:rPr>
                <w:rFonts w:hint="eastAsia" w:ascii="宋体" w:hAnsi="宋体" w:eastAsia="宋体" w:cs="Times New Roman"/>
                <w:kern w:val="0"/>
                <w:sz w:val="24"/>
                <w:szCs w:val="24"/>
              </w:rPr>
            </w:pPr>
          </w:p>
        </w:tc>
      </w:tr>
      <w:tr w14:paraId="752C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shd w:val="clear" w:color="auto" w:fill="auto"/>
            <w:noWrap/>
            <w:vAlign w:val="center"/>
          </w:tcPr>
          <w:p w14:paraId="222CC5BB">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22</w:t>
            </w:r>
          </w:p>
        </w:tc>
        <w:tc>
          <w:tcPr>
            <w:tcW w:w="1245" w:type="dxa"/>
            <w:shd w:val="clear" w:color="auto" w:fill="auto"/>
            <w:vAlign w:val="center"/>
          </w:tcPr>
          <w:p w14:paraId="2AAA516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明盒</w:t>
            </w:r>
          </w:p>
        </w:tc>
        <w:tc>
          <w:tcPr>
            <w:tcW w:w="4105" w:type="dxa"/>
            <w:shd w:val="clear" w:color="auto" w:fill="auto"/>
            <w:vAlign w:val="center"/>
          </w:tcPr>
          <w:p w14:paraId="6300C3CA">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86型明盒</w:t>
            </w:r>
          </w:p>
        </w:tc>
        <w:tc>
          <w:tcPr>
            <w:tcW w:w="851" w:type="dxa"/>
            <w:shd w:val="clear" w:color="auto" w:fill="auto"/>
            <w:noWrap/>
            <w:vAlign w:val="center"/>
          </w:tcPr>
          <w:p w14:paraId="2F63F62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143</w:t>
            </w:r>
          </w:p>
        </w:tc>
        <w:tc>
          <w:tcPr>
            <w:tcW w:w="992" w:type="dxa"/>
            <w:shd w:val="clear" w:color="auto" w:fill="auto"/>
            <w:noWrap/>
            <w:vAlign w:val="center"/>
          </w:tcPr>
          <w:p w14:paraId="28E6DA83">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个</w:t>
            </w:r>
          </w:p>
        </w:tc>
        <w:tc>
          <w:tcPr>
            <w:tcW w:w="850" w:type="dxa"/>
          </w:tcPr>
          <w:p w14:paraId="1050FFFD">
            <w:pPr>
              <w:widowControl/>
              <w:jc w:val="center"/>
              <w:rPr>
                <w:rFonts w:hint="eastAsia" w:ascii="宋体" w:hAnsi="宋体" w:eastAsia="宋体" w:cs="Times New Roman"/>
                <w:kern w:val="0"/>
                <w:sz w:val="24"/>
                <w:szCs w:val="24"/>
              </w:rPr>
            </w:pPr>
          </w:p>
        </w:tc>
        <w:tc>
          <w:tcPr>
            <w:tcW w:w="850" w:type="dxa"/>
          </w:tcPr>
          <w:p w14:paraId="1355C285">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3B598ABD">
            <w:pPr>
              <w:widowControl/>
              <w:jc w:val="center"/>
              <w:rPr>
                <w:rFonts w:hint="eastAsia" w:ascii="宋体" w:hAnsi="宋体" w:eastAsia="宋体" w:cs="Times New Roman"/>
                <w:kern w:val="0"/>
                <w:sz w:val="24"/>
                <w:szCs w:val="24"/>
              </w:rPr>
            </w:pPr>
          </w:p>
        </w:tc>
      </w:tr>
      <w:tr w14:paraId="09CC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shd w:val="clear" w:color="auto" w:fill="auto"/>
            <w:noWrap/>
            <w:vAlign w:val="center"/>
          </w:tcPr>
          <w:p w14:paraId="3E006ADD">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23</w:t>
            </w:r>
          </w:p>
        </w:tc>
        <w:tc>
          <w:tcPr>
            <w:tcW w:w="1245" w:type="dxa"/>
            <w:shd w:val="clear" w:color="auto" w:fill="auto"/>
            <w:vAlign w:val="center"/>
          </w:tcPr>
          <w:p w14:paraId="3110810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PVC管</w:t>
            </w:r>
          </w:p>
        </w:tc>
        <w:tc>
          <w:tcPr>
            <w:tcW w:w="4105" w:type="dxa"/>
            <w:shd w:val="clear" w:color="auto" w:fill="auto"/>
            <w:vAlign w:val="center"/>
          </w:tcPr>
          <w:p w14:paraId="61326366">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直径25PVC管</w:t>
            </w:r>
          </w:p>
        </w:tc>
        <w:tc>
          <w:tcPr>
            <w:tcW w:w="851" w:type="dxa"/>
            <w:shd w:val="clear" w:color="auto" w:fill="auto"/>
            <w:noWrap/>
            <w:vAlign w:val="center"/>
          </w:tcPr>
          <w:p w14:paraId="651C1DF0">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700</w:t>
            </w:r>
          </w:p>
        </w:tc>
        <w:tc>
          <w:tcPr>
            <w:tcW w:w="992" w:type="dxa"/>
            <w:shd w:val="clear" w:color="auto" w:fill="auto"/>
            <w:noWrap/>
            <w:vAlign w:val="center"/>
          </w:tcPr>
          <w:p w14:paraId="02B570E2">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米</w:t>
            </w:r>
          </w:p>
        </w:tc>
        <w:tc>
          <w:tcPr>
            <w:tcW w:w="850" w:type="dxa"/>
          </w:tcPr>
          <w:p w14:paraId="5C20CDB7">
            <w:pPr>
              <w:widowControl/>
              <w:jc w:val="center"/>
              <w:rPr>
                <w:rFonts w:hint="eastAsia" w:ascii="宋体" w:hAnsi="宋体" w:eastAsia="宋体" w:cs="Times New Roman"/>
                <w:kern w:val="0"/>
                <w:sz w:val="24"/>
                <w:szCs w:val="24"/>
              </w:rPr>
            </w:pPr>
          </w:p>
        </w:tc>
        <w:tc>
          <w:tcPr>
            <w:tcW w:w="850" w:type="dxa"/>
          </w:tcPr>
          <w:p w14:paraId="0BDC9C84">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05B848C6">
            <w:pPr>
              <w:widowControl/>
              <w:jc w:val="center"/>
              <w:rPr>
                <w:rFonts w:hint="eastAsia" w:ascii="宋体" w:hAnsi="宋体" w:eastAsia="宋体" w:cs="Times New Roman"/>
                <w:kern w:val="0"/>
                <w:sz w:val="24"/>
                <w:szCs w:val="24"/>
              </w:rPr>
            </w:pPr>
          </w:p>
        </w:tc>
      </w:tr>
      <w:tr w14:paraId="19DE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shd w:val="clear" w:color="auto" w:fill="auto"/>
            <w:noWrap/>
            <w:vAlign w:val="center"/>
          </w:tcPr>
          <w:p w14:paraId="07BE1A94">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24</w:t>
            </w:r>
          </w:p>
        </w:tc>
        <w:tc>
          <w:tcPr>
            <w:tcW w:w="1245" w:type="dxa"/>
            <w:shd w:val="clear" w:color="auto" w:fill="auto"/>
            <w:vAlign w:val="center"/>
          </w:tcPr>
          <w:p w14:paraId="230E5346">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电源线</w:t>
            </w:r>
          </w:p>
        </w:tc>
        <w:tc>
          <w:tcPr>
            <w:tcW w:w="4105" w:type="dxa"/>
            <w:shd w:val="clear" w:color="auto" w:fill="auto"/>
            <w:vAlign w:val="center"/>
          </w:tcPr>
          <w:p w14:paraId="779D5725">
            <w:pPr>
              <w:widowControl/>
              <w:jc w:val="left"/>
              <w:rPr>
                <w:rFonts w:hint="eastAsia" w:ascii="宋体" w:hAnsi="宋体" w:eastAsia="宋体" w:cs="Times New Roman"/>
                <w:kern w:val="0"/>
                <w:sz w:val="24"/>
                <w:szCs w:val="24"/>
              </w:rPr>
            </w:pPr>
            <w:r>
              <w:rPr>
                <w:rFonts w:ascii="宋体" w:hAnsi="宋体" w:eastAsia="宋体" w:cs="Times New Roman"/>
                <w:kern w:val="0"/>
                <w:sz w:val="24"/>
                <w:szCs w:val="24"/>
              </w:rPr>
              <w:t>RVV3*1.0</w:t>
            </w:r>
          </w:p>
        </w:tc>
        <w:tc>
          <w:tcPr>
            <w:tcW w:w="851" w:type="dxa"/>
            <w:shd w:val="clear" w:color="auto" w:fill="auto"/>
            <w:noWrap/>
            <w:vAlign w:val="center"/>
          </w:tcPr>
          <w:p w14:paraId="6A25164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1030</w:t>
            </w:r>
          </w:p>
        </w:tc>
        <w:tc>
          <w:tcPr>
            <w:tcW w:w="992" w:type="dxa"/>
            <w:shd w:val="clear" w:color="auto" w:fill="auto"/>
            <w:noWrap/>
            <w:vAlign w:val="center"/>
          </w:tcPr>
          <w:p w14:paraId="2BD445FC">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米</w:t>
            </w:r>
          </w:p>
        </w:tc>
        <w:tc>
          <w:tcPr>
            <w:tcW w:w="850" w:type="dxa"/>
          </w:tcPr>
          <w:p w14:paraId="736F1C00">
            <w:pPr>
              <w:widowControl/>
              <w:jc w:val="center"/>
              <w:rPr>
                <w:rFonts w:hint="eastAsia" w:ascii="宋体" w:hAnsi="宋体" w:eastAsia="宋体" w:cs="Times New Roman"/>
                <w:kern w:val="0"/>
                <w:sz w:val="24"/>
                <w:szCs w:val="24"/>
              </w:rPr>
            </w:pPr>
          </w:p>
        </w:tc>
        <w:tc>
          <w:tcPr>
            <w:tcW w:w="850" w:type="dxa"/>
          </w:tcPr>
          <w:p w14:paraId="5A43E781">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098DA420">
            <w:pPr>
              <w:widowControl/>
              <w:jc w:val="center"/>
              <w:rPr>
                <w:rFonts w:hint="eastAsia" w:ascii="宋体" w:hAnsi="宋体" w:eastAsia="宋体" w:cs="Times New Roman"/>
                <w:kern w:val="0"/>
                <w:sz w:val="24"/>
                <w:szCs w:val="24"/>
              </w:rPr>
            </w:pPr>
          </w:p>
        </w:tc>
      </w:tr>
      <w:tr w14:paraId="159D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shd w:val="clear" w:color="auto" w:fill="auto"/>
            <w:noWrap/>
            <w:vAlign w:val="center"/>
          </w:tcPr>
          <w:p w14:paraId="76FFE49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25</w:t>
            </w:r>
          </w:p>
        </w:tc>
        <w:tc>
          <w:tcPr>
            <w:tcW w:w="1245" w:type="dxa"/>
            <w:shd w:val="clear" w:color="auto" w:fill="auto"/>
            <w:vAlign w:val="center"/>
          </w:tcPr>
          <w:p w14:paraId="51F10FC1">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施工费</w:t>
            </w:r>
          </w:p>
        </w:tc>
        <w:tc>
          <w:tcPr>
            <w:tcW w:w="4105" w:type="dxa"/>
            <w:shd w:val="clear" w:color="auto" w:fill="auto"/>
            <w:vAlign w:val="center"/>
          </w:tcPr>
          <w:p w14:paraId="27F6410C">
            <w:pPr>
              <w:widowControl/>
              <w:jc w:val="left"/>
              <w:rPr>
                <w:rFonts w:hint="eastAsia" w:ascii="宋体" w:hAnsi="宋体" w:eastAsia="宋体" w:cs="Times New Roman"/>
                <w:kern w:val="0"/>
                <w:sz w:val="24"/>
                <w:szCs w:val="24"/>
              </w:rPr>
            </w:pPr>
            <w:r>
              <w:rPr>
                <w:rFonts w:hint="eastAsia" w:ascii="宋体" w:hAnsi="宋体" w:eastAsia="宋体" w:cs="Times New Roman"/>
                <w:kern w:val="0"/>
                <w:sz w:val="24"/>
                <w:szCs w:val="24"/>
              </w:rPr>
              <w:t>包括2芯室内软铠光缆施工，室外光缆施工，内其他应用点位布线施工，AP设备安装，多媒体箱安装，壁挂箱安装，房间内强电箱至多媒体箱的强电施工，多媒体箱暗埋所需要的打洞开槽，开沟室外光纤铺设所需要的挖槽及恢复，所有涉及的光纤熔接施工及技术服务费用等</w:t>
            </w:r>
          </w:p>
        </w:tc>
        <w:tc>
          <w:tcPr>
            <w:tcW w:w="851" w:type="dxa"/>
            <w:shd w:val="clear" w:color="auto" w:fill="auto"/>
            <w:noWrap/>
            <w:vAlign w:val="center"/>
          </w:tcPr>
          <w:p w14:paraId="2D2A2C59">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1</w:t>
            </w:r>
          </w:p>
        </w:tc>
        <w:tc>
          <w:tcPr>
            <w:tcW w:w="992" w:type="dxa"/>
            <w:shd w:val="clear" w:color="auto" w:fill="auto"/>
            <w:noWrap/>
            <w:vAlign w:val="center"/>
          </w:tcPr>
          <w:p w14:paraId="45F414A5">
            <w:pPr>
              <w:widowControl/>
              <w:jc w:val="center"/>
              <w:rPr>
                <w:rFonts w:hint="eastAsia" w:ascii="宋体" w:hAnsi="宋体" w:eastAsia="宋体" w:cs="Times New Roman"/>
                <w:kern w:val="0"/>
                <w:sz w:val="24"/>
                <w:szCs w:val="24"/>
              </w:rPr>
            </w:pPr>
            <w:r>
              <w:rPr>
                <w:rFonts w:ascii="宋体" w:hAnsi="宋体" w:eastAsia="宋体" w:cs="Times New Roman"/>
                <w:kern w:val="0"/>
                <w:sz w:val="24"/>
                <w:szCs w:val="24"/>
              </w:rPr>
              <w:t>项</w:t>
            </w:r>
          </w:p>
        </w:tc>
        <w:tc>
          <w:tcPr>
            <w:tcW w:w="850" w:type="dxa"/>
          </w:tcPr>
          <w:p w14:paraId="6A6BDBFF">
            <w:pPr>
              <w:widowControl/>
              <w:jc w:val="center"/>
              <w:rPr>
                <w:rFonts w:hint="eastAsia" w:ascii="宋体" w:hAnsi="宋体" w:eastAsia="宋体" w:cs="Times New Roman"/>
                <w:kern w:val="0"/>
                <w:sz w:val="24"/>
                <w:szCs w:val="24"/>
              </w:rPr>
            </w:pPr>
          </w:p>
        </w:tc>
        <w:tc>
          <w:tcPr>
            <w:tcW w:w="850" w:type="dxa"/>
          </w:tcPr>
          <w:p w14:paraId="187EE96F">
            <w:pPr>
              <w:widowControl/>
              <w:jc w:val="center"/>
              <w:rPr>
                <w:rFonts w:hint="eastAsia" w:ascii="宋体" w:hAnsi="宋体" w:eastAsia="宋体" w:cs="Times New Roman"/>
                <w:kern w:val="0"/>
                <w:sz w:val="24"/>
                <w:szCs w:val="24"/>
              </w:rPr>
            </w:pPr>
          </w:p>
        </w:tc>
        <w:tc>
          <w:tcPr>
            <w:tcW w:w="1277" w:type="dxa"/>
            <w:shd w:val="clear" w:color="auto" w:fill="auto"/>
            <w:noWrap/>
            <w:vAlign w:val="center"/>
          </w:tcPr>
          <w:p w14:paraId="3FC8CE44">
            <w:pPr>
              <w:widowControl/>
              <w:jc w:val="center"/>
              <w:rPr>
                <w:rFonts w:hint="eastAsia" w:ascii="宋体" w:hAnsi="宋体" w:eastAsia="宋体" w:cs="Times New Roman"/>
                <w:kern w:val="0"/>
                <w:sz w:val="24"/>
                <w:szCs w:val="24"/>
              </w:rPr>
            </w:pPr>
          </w:p>
        </w:tc>
      </w:tr>
      <w:tr w14:paraId="7C25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57" w:type="dxa"/>
            <w:shd w:val="clear" w:color="auto" w:fill="auto"/>
            <w:noWrap/>
            <w:vAlign w:val="center"/>
          </w:tcPr>
          <w:p w14:paraId="34DFFD8C">
            <w:pPr>
              <w:widowControl/>
              <w:jc w:val="center"/>
              <w:rPr>
                <w:rFonts w:hint="eastAsia" w:ascii="宋体" w:hAnsi="宋体" w:eastAsia="宋体" w:cs="Times New Roman"/>
                <w:kern w:val="0"/>
                <w:sz w:val="24"/>
                <w:szCs w:val="24"/>
              </w:rPr>
            </w:pPr>
          </w:p>
        </w:tc>
        <w:tc>
          <w:tcPr>
            <w:tcW w:w="5350" w:type="dxa"/>
            <w:gridSpan w:val="2"/>
            <w:shd w:val="clear" w:color="auto" w:fill="auto"/>
            <w:vAlign w:val="center"/>
          </w:tcPr>
          <w:p w14:paraId="2179233A">
            <w:pPr>
              <w:widowControl/>
              <w:jc w:val="center"/>
              <w:rPr>
                <w:rFonts w:hint="eastAsia" w:ascii="宋体" w:hAnsi="宋体" w:eastAsia="宋体" w:cs="Times New Roman"/>
                <w:kern w:val="0"/>
                <w:sz w:val="24"/>
                <w:szCs w:val="24"/>
              </w:rPr>
            </w:pPr>
            <w:r>
              <w:rPr>
                <w:rFonts w:hint="eastAsia" w:ascii="宋体" w:hAnsi="宋体" w:eastAsia="宋体" w:cs="Times New Roman"/>
                <w:kern w:val="0"/>
                <w:sz w:val="24"/>
                <w:szCs w:val="24"/>
              </w:rPr>
              <w:t>合计</w:t>
            </w:r>
          </w:p>
        </w:tc>
        <w:tc>
          <w:tcPr>
            <w:tcW w:w="4820" w:type="dxa"/>
            <w:gridSpan w:val="5"/>
            <w:shd w:val="clear" w:color="auto" w:fill="auto"/>
            <w:noWrap/>
            <w:vAlign w:val="center"/>
          </w:tcPr>
          <w:p w14:paraId="5AF4CB3C">
            <w:pPr>
              <w:widowControl/>
              <w:jc w:val="center"/>
              <w:rPr>
                <w:rFonts w:hint="eastAsia" w:ascii="宋体" w:hAnsi="宋体" w:eastAsia="宋体" w:cs="Times New Roman"/>
                <w:kern w:val="0"/>
                <w:sz w:val="24"/>
                <w:szCs w:val="24"/>
              </w:rPr>
            </w:pPr>
          </w:p>
        </w:tc>
      </w:tr>
    </w:tbl>
    <w:p w14:paraId="35D185B2">
      <w:pPr>
        <w:spacing w:line="360" w:lineRule="auto"/>
        <w:rPr>
          <w:rFonts w:hint="eastAsia" w:ascii="宋体" w:hAnsi="宋体" w:eastAsia="宋体" w:cs="宋体"/>
          <w:b/>
          <w:bCs/>
          <w:kern w:val="0"/>
          <w:sz w:val="24"/>
          <w:szCs w:val="24"/>
          <w:lang w:val="zh-CN"/>
        </w:rPr>
      </w:pPr>
      <w:r>
        <w:rPr>
          <w:rFonts w:hint="eastAsia" w:ascii="宋体" w:hAnsi="宋体" w:eastAsia="宋体" w:cs="宋体"/>
          <w:b/>
          <w:bCs/>
          <w:kern w:val="0"/>
          <w:sz w:val="24"/>
          <w:szCs w:val="24"/>
          <w:lang w:val="zh-CN"/>
        </w:rPr>
        <w:t xml:space="preserve">                               </w:t>
      </w:r>
    </w:p>
    <w:p w14:paraId="4202DC00">
      <w:pPr>
        <w:widowControl/>
        <w:adjustRightInd w:val="0"/>
        <w:spacing w:line="360" w:lineRule="auto"/>
        <w:jc w:val="left"/>
        <w:rPr>
          <w:rFonts w:hint="eastAsia" w:ascii="宋体" w:hAnsi="宋体" w:eastAsia="宋体" w:cs="宋体"/>
          <w:b/>
          <w:bCs/>
          <w:kern w:val="0"/>
          <w:sz w:val="24"/>
          <w:szCs w:val="24"/>
          <w:lang w:val="zh-CN"/>
        </w:rPr>
      </w:pPr>
      <w:r>
        <w:rPr>
          <w:rFonts w:hint="eastAsia" w:ascii="宋体" w:hAnsi="宋体" w:eastAsia="宋体" w:cs="宋体"/>
          <w:b/>
          <w:bCs/>
          <w:kern w:val="0"/>
          <w:sz w:val="24"/>
          <w:szCs w:val="24"/>
          <w:lang w:val="zh-CN"/>
        </w:rPr>
        <w:t>说明：</w:t>
      </w:r>
    </w:p>
    <w:p w14:paraId="69E9CF99">
      <w:pPr>
        <w:spacing w:line="360" w:lineRule="auto"/>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1、经磋商后，如果成交价低于投标人在投标文件首次报价的，分项报价同比例调整。</w:t>
      </w:r>
    </w:p>
    <w:p w14:paraId="49CE054A">
      <w:pPr>
        <w:rPr>
          <w:rFonts w:hint="eastAsia" w:ascii="宋体" w:hAnsi="宋体" w:eastAsia="宋体" w:cs="宋体"/>
          <w:kern w:val="0"/>
          <w:sz w:val="24"/>
          <w:szCs w:val="24"/>
          <w:lang w:val="zh-CN"/>
        </w:rPr>
      </w:pPr>
    </w:p>
    <w:p w14:paraId="7FADB727">
      <w:pPr>
        <w:rPr>
          <w:rFonts w:hint="eastAsia" w:ascii="宋体" w:hAnsi="宋体" w:eastAsia="宋体" w:cs="宋体"/>
          <w:kern w:val="0"/>
          <w:sz w:val="24"/>
          <w:szCs w:val="24"/>
          <w:lang w:val="zh-CN"/>
        </w:rPr>
      </w:pPr>
    </w:p>
    <w:p w14:paraId="46585A1D">
      <w:pPr>
        <w:rPr>
          <w:rFonts w:hint="eastAsia" w:ascii="宋体" w:hAnsi="宋体" w:eastAsia="宋体" w:cs="Times New Roman"/>
          <w:b/>
          <w:color w:val="000000"/>
          <w:sz w:val="28"/>
          <w:szCs w:val="28"/>
        </w:rPr>
      </w:pPr>
    </w:p>
    <w:p w14:paraId="4685E99E">
      <w:pPr>
        <w:rPr>
          <w:rFonts w:hint="eastAsia" w:ascii="宋体" w:hAnsi="宋体" w:eastAsia="宋体" w:cs="Times New Roman"/>
          <w:b/>
          <w:color w:val="000000"/>
          <w:sz w:val="28"/>
          <w:szCs w:val="28"/>
        </w:rPr>
      </w:pPr>
    </w:p>
    <w:p w14:paraId="1A603F7F">
      <w:pPr>
        <w:widowControl/>
        <w:adjustRightInd w:val="0"/>
        <w:spacing w:line="360" w:lineRule="auto"/>
        <w:jc w:val="left"/>
        <w:rPr>
          <w:rFonts w:hint="eastAsia" w:ascii="宋体" w:hAnsi="宋体" w:eastAsia="宋体" w:cs="宋体"/>
          <w:kern w:val="0"/>
          <w:sz w:val="24"/>
          <w:szCs w:val="24"/>
          <w:lang w:val="zh-CN"/>
        </w:rPr>
      </w:pPr>
      <w:r>
        <w:rPr>
          <w:rFonts w:hint="eastAsia" w:ascii="宋体" w:hAnsi="宋体" w:eastAsia="宋体" w:cs="宋体"/>
          <w:kern w:val="0"/>
          <w:sz w:val="24"/>
          <w:szCs w:val="24"/>
          <w:lang w:val="zh-CN"/>
        </w:rPr>
        <w:t>投标人名称：</w:t>
      </w:r>
      <w:r>
        <w:rPr>
          <w:rFonts w:ascii="宋体" w:hAnsi="宋体" w:eastAsia="宋体" w:cs="宋体"/>
          <w:kern w:val="0"/>
          <w:sz w:val="24"/>
          <w:szCs w:val="24"/>
          <w:u w:val="single"/>
          <w:lang w:val="zh-CN"/>
        </w:rPr>
        <w:t xml:space="preserve">                                                      </w:t>
      </w:r>
      <w:r>
        <w:rPr>
          <w:rFonts w:hint="eastAsia" w:ascii="宋体" w:hAnsi="宋体" w:eastAsia="宋体" w:cs="宋体"/>
          <w:kern w:val="0"/>
          <w:sz w:val="24"/>
          <w:szCs w:val="24"/>
          <w:lang w:val="zh-CN"/>
        </w:rPr>
        <w:t>（盖章）</w:t>
      </w:r>
    </w:p>
    <w:p w14:paraId="7970B098">
      <w:pPr>
        <w:jc w:val="center"/>
        <w:rPr>
          <w:rFonts w:hint="eastAsia" w:ascii="宋体" w:hAnsi="宋体" w:eastAsia="宋体" w:cs="Times New Roman"/>
          <w:b/>
          <w:color w:val="000000"/>
          <w:sz w:val="28"/>
          <w:szCs w:val="28"/>
        </w:rPr>
      </w:pPr>
    </w:p>
    <w:p w14:paraId="73339FAA">
      <w:pPr>
        <w:rPr>
          <w:rFonts w:hint="eastAsia" w:ascii="宋体" w:hAnsi="宋体" w:eastAsia="宋体" w:cs="Times New Roman"/>
          <w:b/>
          <w:color w:val="000000"/>
          <w:sz w:val="28"/>
          <w:szCs w:val="28"/>
        </w:rPr>
      </w:pPr>
    </w:p>
    <w:p w14:paraId="1E81450E">
      <w:pPr>
        <w:rPr>
          <w:rFonts w:hint="eastAsia" w:ascii="宋体" w:hAnsi="宋体" w:eastAsia="宋体" w:cs="Times New Roman"/>
          <w:b/>
          <w:color w:val="000000"/>
          <w:sz w:val="28"/>
          <w:szCs w:val="28"/>
        </w:rPr>
      </w:pPr>
    </w:p>
    <w:p w14:paraId="6042ED25">
      <w:pPr>
        <w:rPr>
          <w:rFonts w:hint="eastAsia" w:ascii="宋体" w:hAnsi="宋体" w:eastAsia="宋体" w:cs="Times New Roman"/>
          <w:b/>
          <w:color w:val="000000"/>
          <w:sz w:val="28"/>
          <w:szCs w:val="28"/>
        </w:rPr>
      </w:pPr>
    </w:p>
    <w:p w14:paraId="02909417">
      <w:pPr>
        <w:rPr>
          <w:rFonts w:hint="eastAsia" w:ascii="宋体" w:hAnsi="宋体" w:eastAsia="宋体" w:cs="Times New Roman"/>
          <w:b/>
          <w:color w:val="000000"/>
          <w:sz w:val="28"/>
          <w:szCs w:val="28"/>
        </w:rPr>
      </w:pPr>
    </w:p>
    <w:p w14:paraId="7F8DDC31">
      <w:pPr>
        <w:rPr>
          <w:rFonts w:hint="eastAsia" w:ascii="宋体" w:hAnsi="宋体" w:eastAsia="宋体" w:cs="Times New Roman"/>
          <w:b/>
          <w:color w:val="000000"/>
          <w:sz w:val="28"/>
          <w:szCs w:val="28"/>
        </w:rPr>
      </w:pPr>
    </w:p>
    <w:p w14:paraId="00453998">
      <w:pPr>
        <w:rPr>
          <w:rFonts w:hint="eastAsia" w:ascii="宋体" w:hAnsi="宋体" w:eastAsia="宋体" w:cs="Times New Roman"/>
          <w:b/>
          <w:color w:val="000000"/>
          <w:sz w:val="28"/>
          <w:szCs w:val="28"/>
        </w:rPr>
      </w:pPr>
    </w:p>
    <w:p w14:paraId="7ABF3516">
      <w:pPr>
        <w:rPr>
          <w:rFonts w:hint="eastAsia" w:ascii="宋体" w:hAnsi="宋体" w:eastAsia="宋体" w:cs="Times New Roman"/>
          <w:b/>
          <w:color w:val="000000"/>
          <w:sz w:val="28"/>
          <w:szCs w:val="28"/>
        </w:rPr>
      </w:pPr>
    </w:p>
    <w:p w14:paraId="14648807">
      <w:pPr>
        <w:rPr>
          <w:rFonts w:hint="eastAsia" w:ascii="宋体" w:hAnsi="宋体" w:eastAsia="宋体" w:cs="Times New Roman"/>
          <w:b/>
          <w:color w:val="000000"/>
          <w:sz w:val="28"/>
          <w:szCs w:val="28"/>
        </w:rPr>
      </w:pPr>
    </w:p>
    <w:p w14:paraId="294EFF15">
      <w:pPr>
        <w:rPr>
          <w:rFonts w:hint="eastAsia" w:ascii="宋体" w:hAnsi="宋体" w:eastAsia="宋体" w:cs="Times New Roman"/>
          <w:b/>
          <w:color w:val="000000"/>
          <w:sz w:val="28"/>
          <w:szCs w:val="28"/>
        </w:rPr>
      </w:pPr>
    </w:p>
    <w:p w14:paraId="5228A63B">
      <w:pPr>
        <w:rPr>
          <w:rFonts w:hint="eastAsia" w:ascii="宋体" w:hAnsi="宋体" w:eastAsia="宋体" w:cs="Times New Roman"/>
          <w:b/>
          <w:color w:val="000000"/>
          <w:sz w:val="28"/>
          <w:szCs w:val="28"/>
        </w:rPr>
      </w:pPr>
    </w:p>
    <w:p w14:paraId="0974A992">
      <w:pPr>
        <w:rPr>
          <w:rFonts w:hint="eastAsia" w:ascii="宋体" w:hAnsi="宋体" w:eastAsia="宋体" w:cs="Times New Roman"/>
          <w:b/>
          <w:color w:val="000000"/>
          <w:sz w:val="28"/>
          <w:szCs w:val="28"/>
        </w:rPr>
      </w:pPr>
    </w:p>
    <w:p w14:paraId="3C70955A">
      <w:pPr>
        <w:rPr>
          <w:rFonts w:hint="eastAsia" w:ascii="宋体" w:hAnsi="宋体" w:eastAsia="宋体" w:cs="Times New Roman"/>
          <w:b/>
          <w:color w:val="000000"/>
          <w:sz w:val="28"/>
          <w:szCs w:val="28"/>
        </w:rPr>
      </w:pPr>
    </w:p>
    <w:p w14:paraId="1769F0A3">
      <w:pPr>
        <w:rPr>
          <w:rFonts w:hint="eastAsia" w:ascii="宋体" w:hAnsi="宋体" w:eastAsia="宋体" w:cs="Times New Roman"/>
          <w:b/>
          <w:color w:val="000000"/>
          <w:sz w:val="28"/>
          <w:szCs w:val="28"/>
        </w:rPr>
      </w:pPr>
    </w:p>
    <w:p w14:paraId="25174D13">
      <w:pPr>
        <w:rPr>
          <w:rFonts w:hint="eastAsia" w:ascii="宋体" w:hAnsi="宋体" w:eastAsia="宋体" w:cs="Times New Roman"/>
          <w:b/>
          <w:color w:val="000000"/>
          <w:sz w:val="28"/>
          <w:szCs w:val="28"/>
        </w:rPr>
      </w:pPr>
    </w:p>
    <w:p w14:paraId="0862413C">
      <w:pPr>
        <w:rPr>
          <w:rFonts w:hint="eastAsia" w:ascii="宋体" w:hAnsi="宋体" w:eastAsia="宋体" w:cs="Times New Roman"/>
          <w:b/>
          <w:color w:val="000000"/>
          <w:sz w:val="28"/>
          <w:szCs w:val="28"/>
        </w:rPr>
      </w:pPr>
    </w:p>
    <w:p w14:paraId="4B7A0168">
      <w:pPr>
        <w:rPr>
          <w:rFonts w:hint="eastAsia" w:ascii="宋体" w:hAnsi="宋体" w:eastAsia="宋体" w:cs="Times New Roman"/>
          <w:b/>
          <w:color w:val="000000"/>
          <w:sz w:val="28"/>
          <w:szCs w:val="28"/>
        </w:rPr>
      </w:pPr>
    </w:p>
    <w:p w14:paraId="436EEAEE">
      <w:pPr>
        <w:rPr>
          <w:rFonts w:hint="eastAsia" w:ascii="宋体" w:hAnsi="宋体" w:eastAsia="宋体" w:cs="Times New Roman"/>
          <w:b/>
          <w:color w:val="000000"/>
          <w:sz w:val="28"/>
          <w:szCs w:val="28"/>
        </w:rPr>
      </w:pPr>
    </w:p>
    <w:p w14:paraId="1BDCF5FD">
      <w:pPr>
        <w:rPr>
          <w:rFonts w:hint="eastAsia" w:ascii="宋体" w:hAnsi="宋体" w:eastAsia="宋体" w:cs="Times New Roman"/>
          <w:b/>
          <w:color w:val="000000"/>
          <w:sz w:val="28"/>
          <w:szCs w:val="28"/>
        </w:rPr>
      </w:pPr>
    </w:p>
    <w:p w14:paraId="4FF5A1ED">
      <w:pPr>
        <w:rPr>
          <w:rFonts w:hint="eastAsia" w:ascii="宋体" w:hAnsi="宋体" w:eastAsia="宋体" w:cs="Times New Roman"/>
          <w:b/>
          <w:color w:val="000000"/>
          <w:sz w:val="28"/>
          <w:szCs w:val="28"/>
        </w:rPr>
      </w:pPr>
    </w:p>
    <w:p w14:paraId="6FC34025">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附件三、法定代表人授权委托书</w:t>
      </w:r>
    </w:p>
    <w:p w14:paraId="3080AFD9">
      <w:pPr>
        <w:adjustRightInd w:val="0"/>
        <w:snapToGrid w:val="0"/>
        <w:spacing w:line="300" w:lineRule="auto"/>
        <w:rPr>
          <w:rFonts w:hint="eastAsia" w:ascii="宋体" w:hAnsi="宋体" w:eastAsia="宋体" w:cs="Times New Roman"/>
          <w:color w:val="000000"/>
          <w:szCs w:val="24"/>
        </w:rPr>
      </w:pPr>
    </w:p>
    <w:p w14:paraId="53E6DA9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本授权委托书声明：我 </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系</w:t>
      </w:r>
      <w:r>
        <w:rPr>
          <w:rFonts w:hint="eastAsia" w:ascii="宋体" w:hAnsi="宋体" w:eastAsia="宋体" w:cs="Times New Roman"/>
          <w:color w:val="000000"/>
          <w:sz w:val="24"/>
          <w:szCs w:val="24"/>
          <w:u w:val="single"/>
        </w:rPr>
        <w:t>(投标人名称)</w:t>
      </w:r>
      <w:r>
        <w:rPr>
          <w:rFonts w:hint="eastAsia" w:ascii="宋体" w:hAnsi="宋体" w:eastAsia="宋体" w:cs="Times New Roman"/>
          <w:color w:val="000000"/>
          <w:sz w:val="24"/>
          <w:szCs w:val="24"/>
        </w:rPr>
        <w:t>的法定代表人，现授权委托</w:t>
      </w:r>
      <w:r>
        <w:rPr>
          <w:rFonts w:hint="eastAsia" w:ascii="宋体" w:hAnsi="宋体" w:eastAsia="宋体" w:cs="Times New Roman"/>
          <w:color w:val="000000"/>
          <w:sz w:val="24"/>
          <w:szCs w:val="24"/>
          <w:u w:val="single"/>
        </w:rPr>
        <w:t>（单位名称）</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为我公司代理人，以本公司的名义参加</w:t>
      </w:r>
      <w:r>
        <w:rPr>
          <w:rFonts w:hint="eastAsia" w:ascii="宋体" w:hAnsi="宋体" w:eastAsia="宋体" w:cs="Times New Roman"/>
          <w:color w:val="000000"/>
          <w:sz w:val="24"/>
          <w:szCs w:val="24"/>
          <w:u w:val="single"/>
        </w:rPr>
        <w:t>(招标人)</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（项目名称）</w:t>
      </w:r>
      <w:r>
        <w:rPr>
          <w:rFonts w:hint="eastAsia" w:ascii="宋体" w:hAnsi="宋体" w:eastAsia="宋体" w:cs="Times New Roman"/>
          <w:color w:val="000000"/>
          <w:sz w:val="24"/>
          <w:szCs w:val="24"/>
        </w:rPr>
        <w:t>的投标活动。代理人在投标、开标、评标、合同磋商过程中所签署的一切文件和处理与之有关的一切事务，我均予以承认。</w:t>
      </w:r>
    </w:p>
    <w:p w14:paraId="5A5CCCFD">
      <w:pPr>
        <w:adjustRightInd w:val="0"/>
        <w:snapToGrid w:val="0"/>
        <w:spacing w:line="300" w:lineRule="auto"/>
        <w:rPr>
          <w:rFonts w:hint="eastAsia" w:ascii="宋体" w:hAnsi="宋体" w:eastAsia="宋体" w:cs="Times New Roman"/>
          <w:color w:val="000000"/>
          <w:sz w:val="24"/>
          <w:szCs w:val="24"/>
        </w:rPr>
      </w:pPr>
    </w:p>
    <w:p w14:paraId="3530E299">
      <w:pPr>
        <w:adjustRightInd w:val="0"/>
        <w:snapToGrid w:val="0"/>
        <w:spacing w:line="300" w:lineRule="auto"/>
        <w:ind w:left="41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代理人无转委权。特此委托。</w:t>
      </w:r>
      <w:r>
        <w:rPr>
          <w:rFonts w:hint="eastAsia" w:ascii="宋体" w:hAnsi="宋体" w:eastAsia="宋体" w:cs="Times New Roman"/>
          <w:color w:val="000000"/>
          <w:sz w:val="24"/>
          <w:szCs w:val="24"/>
        </w:rPr>
        <w:cr/>
      </w:r>
      <w:r>
        <w:rPr>
          <w:rFonts w:hint="eastAsia" w:ascii="宋体" w:hAnsi="宋体" w:eastAsia="宋体" w:cs="Times New Roman"/>
          <w:color w:val="000000"/>
          <w:sz w:val="24"/>
          <w:szCs w:val="24"/>
        </w:rPr>
        <w:t>代理人：                 性别：                    年龄：</w:t>
      </w:r>
    </w:p>
    <w:p w14:paraId="2F71D582">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                   部门：                    职务：</w:t>
      </w:r>
    </w:p>
    <w:p w14:paraId="3D18B27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投标人：(公章)</w:t>
      </w:r>
    </w:p>
    <w:p w14:paraId="7783820D">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p>
    <w:p w14:paraId="0B213279">
      <w:pPr>
        <w:adjustRightInd w:val="0"/>
        <w:snapToGrid w:val="0"/>
        <w:spacing w:line="300" w:lineRule="auto"/>
        <w:rPr>
          <w:rFonts w:hint="eastAsia" w:ascii="宋体" w:hAnsi="宋体" w:eastAsia="宋体" w:cs="Times New Roman"/>
          <w:color w:val="000000"/>
          <w:sz w:val="24"/>
          <w:szCs w:val="24"/>
        </w:rPr>
      </w:pPr>
    </w:p>
    <w:p w14:paraId="139A0847">
      <w:pPr>
        <w:jc w:val="center"/>
        <w:rPr>
          <w:rFonts w:hint="eastAsia" w:ascii="宋体" w:hAnsi="宋体" w:eastAsia="宋体" w:cs="Times New Roman"/>
          <w:color w:val="000000"/>
          <w:szCs w:val="24"/>
        </w:rPr>
      </w:pPr>
      <w:r>
        <w:rPr>
          <w:rFonts w:hint="eastAsia" w:ascii="宋体" w:hAnsi="宋体" w:eastAsia="宋体" w:cs="Times New Roman"/>
          <w:color w:val="000000"/>
          <w:szCs w:val="24"/>
        </w:rPr>
        <w:t xml:space="preserve"> </w:t>
      </w:r>
      <w:r>
        <w:rPr>
          <w:rFonts w:ascii="宋体" w:hAnsi="宋体" w:eastAsia="宋体" w:cs="Times New Roman"/>
          <w:color w:val="000000"/>
          <w:szCs w:val="24"/>
        </w:rPr>
        <w:t xml:space="preserve">                                     </w:t>
      </w:r>
      <w:r>
        <w:rPr>
          <w:rFonts w:hint="eastAsia" w:ascii="宋体" w:hAnsi="宋体" w:eastAsia="宋体" w:cs="Times New Roman"/>
          <w:color w:val="000000"/>
          <w:szCs w:val="24"/>
        </w:rPr>
        <w:t>日期：   年     月   日</w:t>
      </w:r>
    </w:p>
    <w:p w14:paraId="173C47BD">
      <w:pPr>
        <w:rPr>
          <w:rFonts w:ascii="Times New Roman" w:hAnsi="Times New Roman" w:eastAsia="宋体" w:cs="Times New Roman"/>
          <w:b/>
          <w:sz w:val="28"/>
          <w:szCs w:val="28"/>
        </w:rPr>
      </w:pPr>
      <w:bookmarkStart w:id="15" w:name="_Toc25030888"/>
      <w:r>
        <w:rPr>
          <w:rFonts w:hint="eastAsia" w:ascii="宋体" w:hAnsi="宋体" w:eastAsia="宋体" w:cs="Times New Roman"/>
          <w:color w:val="000000"/>
          <w:sz w:val="24"/>
          <w:szCs w:val="24"/>
        </w:rPr>
        <w:t>附委托代理人的身份证明文件的复印件：</w:t>
      </w:r>
    </w:p>
    <w:p w14:paraId="5C73C696">
      <w:pPr>
        <w:spacing w:line="360" w:lineRule="auto"/>
        <w:rPr>
          <w:rFonts w:hint="eastAsia" w:ascii="宋体" w:hAnsi="宋体" w:eastAsia="宋体" w:cs="Times New Roman"/>
          <w:szCs w:val="24"/>
        </w:rPr>
        <w:sectPr>
          <w:footerReference r:id="rId9" w:type="default"/>
          <w:pgSz w:w="11906" w:h="16838"/>
          <w:pgMar w:top="1440" w:right="1800" w:bottom="1440" w:left="1800" w:header="851" w:footer="851" w:gutter="0"/>
          <w:cols w:space="720" w:num="1"/>
          <w:docGrid w:linePitch="312" w:charSpace="0"/>
        </w:sectPr>
      </w:pPr>
      <w:bookmarkStart w:id="16" w:name="_Toc434218974"/>
    </w:p>
    <w:p w14:paraId="4967E8B2">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附件</w:t>
      </w:r>
      <w:bookmarkEnd w:id="16"/>
      <w:r>
        <w:rPr>
          <w:rFonts w:hint="eastAsia" w:ascii="宋体" w:hAnsi="宋体" w:eastAsia="宋体" w:cs="Times New Roman"/>
          <w:b/>
          <w:color w:val="000000"/>
          <w:sz w:val="28"/>
          <w:szCs w:val="28"/>
        </w:rPr>
        <w:t>四、拟投入项目人员汇总表</w:t>
      </w:r>
    </w:p>
    <w:p w14:paraId="3256C703">
      <w:pPr>
        <w:jc w:val="center"/>
        <w:rPr>
          <w:rFonts w:hint="eastAsia" w:ascii="宋体" w:hAnsi="宋体" w:eastAsia="宋体" w:cs="Times New Roman"/>
          <w:b/>
          <w:color w:val="000000"/>
          <w:sz w:val="28"/>
          <w:szCs w:val="28"/>
        </w:rPr>
      </w:pPr>
    </w:p>
    <w:tbl>
      <w:tblPr>
        <w:tblStyle w:val="58"/>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44"/>
        <w:gridCol w:w="858"/>
        <w:gridCol w:w="1048"/>
        <w:gridCol w:w="1627"/>
        <w:gridCol w:w="972"/>
        <w:gridCol w:w="1238"/>
        <w:gridCol w:w="1621"/>
      </w:tblGrid>
      <w:tr w14:paraId="448C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461D8978">
            <w:pPr>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1144" w:type="dxa"/>
            <w:vAlign w:val="center"/>
          </w:tcPr>
          <w:p w14:paraId="762F9017">
            <w:pPr>
              <w:jc w:val="center"/>
              <w:rPr>
                <w:rFonts w:hint="eastAsia" w:ascii="宋体" w:hAnsi="宋体" w:eastAsia="宋体" w:cs="Times New Roman"/>
                <w:sz w:val="24"/>
                <w:szCs w:val="24"/>
              </w:rPr>
            </w:pPr>
            <w:r>
              <w:rPr>
                <w:rFonts w:hint="eastAsia" w:ascii="宋体" w:hAnsi="宋体" w:eastAsia="宋体" w:cs="Times New Roman"/>
                <w:sz w:val="24"/>
                <w:szCs w:val="24"/>
              </w:rPr>
              <w:t>姓名</w:t>
            </w:r>
          </w:p>
        </w:tc>
        <w:tc>
          <w:tcPr>
            <w:tcW w:w="858" w:type="dxa"/>
            <w:vAlign w:val="center"/>
          </w:tcPr>
          <w:p w14:paraId="19B7B7D8">
            <w:pPr>
              <w:jc w:val="center"/>
              <w:rPr>
                <w:rFonts w:hint="eastAsia" w:ascii="宋体" w:hAnsi="宋体" w:eastAsia="宋体" w:cs="Times New Roman"/>
                <w:sz w:val="24"/>
                <w:szCs w:val="24"/>
              </w:rPr>
            </w:pPr>
            <w:r>
              <w:rPr>
                <w:rFonts w:hint="eastAsia" w:ascii="宋体" w:hAnsi="宋体" w:eastAsia="宋体" w:cs="Times New Roman"/>
                <w:sz w:val="24"/>
                <w:szCs w:val="24"/>
              </w:rPr>
              <w:t>性别</w:t>
            </w:r>
          </w:p>
        </w:tc>
        <w:tc>
          <w:tcPr>
            <w:tcW w:w="1048" w:type="dxa"/>
            <w:vAlign w:val="center"/>
          </w:tcPr>
          <w:p w14:paraId="3814AC1E">
            <w:pPr>
              <w:jc w:val="center"/>
              <w:rPr>
                <w:rFonts w:hint="eastAsia" w:ascii="宋体" w:hAnsi="宋体" w:eastAsia="宋体" w:cs="Times New Roman"/>
                <w:sz w:val="24"/>
                <w:szCs w:val="24"/>
              </w:rPr>
            </w:pPr>
            <w:r>
              <w:rPr>
                <w:rFonts w:hint="eastAsia" w:ascii="宋体" w:hAnsi="宋体" w:eastAsia="宋体" w:cs="Times New Roman"/>
                <w:sz w:val="24"/>
                <w:szCs w:val="24"/>
              </w:rPr>
              <w:t>出生日期</w:t>
            </w:r>
          </w:p>
        </w:tc>
        <w:tc>
          <w:tcPr>
            <w:tcW w:w="1627" w:type="dxa"/>
            <w:vAlign w:val="center"/>
          </w:tcPr>
          <w:p w14:paraId="0C1BBBCA">
            <w:pPr>
              <w:jc w:val="center"/>
              <w:rPr>
                <w:rFonts w:hint="eastAsia" w:ascii="宋体" w:hAnsi="宋体" w:eastAsia="宋体" w:cs="Times New Roman"/>
                <w:sz w:val="24"/>
                <w:szCs w:val="24"/>
              </w:rPr>
            </w:pPr>
            <w:r>
              <w:rPr>
                <w:rFonts w:hint="eastAsia" w:ascii="宋体" w:hAnsi="宋体" w:eastAsia="宋体" w:cs="Times New Roman"/>
                <w:sz w:val="24"/>
                <w:szCs w:val="24"/>
              </w:rPr>
              <w:t>学历</w:t>
            </w:r>
          </w:p>
        </w:tc>
        <w:tc>
          <w:tcPr>
            <w:tcW w:w="972" w:type="dxa"/>
            <w:vAlign w:val="center"/>
          </w:tcPr>
          <w:p w14:paraId="1EFFF366">
            <w:pPr>
              <w:jc w:val="center"/>
              <w:rPr>
                <w:rFonts w:hint="eastAsia" w:ascii="宋体" w:hAnsi="宋体" w:eastAsia="宋体" w:cs="Times New Roman"/>
                <w:sz w:val="24"/>
                <w:szCs w:val="24"/>
              </w:rPr>
            </w:pPr>
            <w:r>
              <w:rPr>
                <w:rFonts w:hint="eastAsia" w:ascii="宋体" w:hAnsi="宋体" w:eastAsia="宋体" w:cs="Times New Roman"/>
                <w:sz w:val="24"/>
                <w:szCs w:val="24"/>
              </w:rPr>
              <w:t>专业</w:t>
            </w:r>
          </w:p>
        </w:tc>
        <w:tc>
          <w:tcPr>
            <w:tcW w:w="1238" w:type="dxa"/>
            <w:vAlign w:val="center"/>
          </w:tcPr>
          <w:p w14:paraId="5C2960AD">
            <w:pPr>
              <w:jc w:val="center"/>
              <w:rPr>
                <w:rFonts w:hint="eastAsia" w:ascii="宋体" w:hAnsi="宋体" w:eastAsia="宋体" w:cs="Times New Roman"/>
                <w:sz w:val="24"/>
                <w:szCs w:val="24"/>
              </w:rPr>
            </w:pPr>
            <w:r>
              <w:rPr>
                <w:rFonts w:hint="eastAsia" w:ascii="宋体" w:hAnsi="宋体" w:eastAsia="宋体" w:cs="Times New Roman"/>
                <w:sz w:val="24"/>
                <w:szCs w:val="24"/>
              </w:rPr>
              <w:t>技术职称</w:t>
            </w:r>
          </w:p>
        </w:tc>
        <w:tc>
          <w:tcPr>
            <w:tcW w:w="1621" w:type="dxa"/>
            <w:vAlign w:val="center"/>
          </w:tcPr>
          <w:p w14:paraId="3A6EB7C5">
            <w:pPr>
              <w:jc w:val="center"/>
              <w:rPr>
                <w:rFonts w:hint="eastAsia" w:ascii="宋体" w:hAnsi="宋体" w:eastAsia="宋体" w:cs="Times New Roman"/>
                <w:sz w:val="24"/>
                <w:szCs w:val="24"/>
              </w:rPr>
            </w:pPr>
            <w:r>
              <w:rPr>
                <w:rFonts w:hint="eastAsia" w:ascii="宋体" w:hAnsi="宋体" w:eastAsia="宋体" w:cs="Times New Roman"/>
                <w:sz w:val="24"/>
                <w:szCs w:val="24"/>
              </w:rPr>
              <w:t>在本项目拟任职务</w:t>
            </w:r>
          </w:p>
        </w:tc>
      </w:tr>
      <w:tr w14:paraId="5D8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6BCBAC21">
            <w:pPr>
              <w:jc w:val="center"/>
              <w:rPr>
                <w:rFonts w:hint="eastAsia" w:ascii="宋体" w:hAnsi="宋体" w:eastAsia="宋体" w:cs="Times New Roman"/>
                <w:sz w:val="24"/>
                <w:szCs w:val="24"/>
              </w:rPr>
            </w:pPr>
          </w:p>
        </w:tc>
        <w:tc>
          <w:tcPr>
            <w:tcW w:w="1144" w:type="dxa"/>
            <w:vAlign w:val="center"/>
          </w:tcPr>
          <w:p w14:paraId="7F976B44">
            <w:pPr>
              <w:jc w:val="center"/>
              <w:rPr>
                <w:rFonts w:hint="eastAsia" w:ascii="宋体" w:hAnsi="宋体" w:eastAsia="宋体" w:cs="Times New Roman"/>
                <w:sz w:val="24"/>
                <w:szCs w:val="24"/>
              </w:rPr>
            </w:pPr>
          </w:p>
        </w:tc>
        <w:tc>
          <w:tcPr>
            <w:tcW w:w="858" w:type="dxa"/>
            <w:vAlign w:val="center"/>
          </w:tcPr>
          <w:p w14:paraId="6EFB0484">
            <w:pPr>
              <w:jc w:val="center"/>
              <w:rPr>
                <w:rFonts w:hint="eastAsia" w:ascii="宋体" w:hAnsi="宋体" w:eastAsia="宋体" w:cs="Times New Roman"/>
                <w:sz w:val="24"/>
                <w:szCs w:val="24"/>
              </w:rPr>
            </w:pPr>
          </w:p>
        </w:tc>
        <w:tc>
          <w:tcPr>
            <w:tcW w:w="1048" w:type="dxa"/>
            <w:vAlign w:val="center"/>
          </w:tcPr>
          <w:p w14:paraId="2EE91CB0">
            <w:pPr>
              <w:jc w:val="center"/>
              <w:rPr>
                <w:rFonts w:hint="eastAsia" w:ascii="宋体" w:hAnsi="宋体" w:eastAsia="宋体" w:cs="Times New Roman"/>
                <w:sz w:val="24"/>
                <w:szCs w:val="24"/>
              </w:rPr>
            </w:pPr>
          </w:p>
        </w:tc>
        <w:tc>
          <w:tcPr>
            <w:tcW w:w="1627" w:type="dxa"/>
            <w:vAlign w:val="center"/>
          </w:tcPr>
          <w:p w14:paraId="3FFE5298">
            <w:pPr>
              <w:jc w:val="center"/>
              <w:rPr>
                <w:rFonts w:hint="eastAsia" w:ascii="宋体" w:hAnsi="宋体" w:eastAsia="宋体" w:cs="Times New Roman"/>
                <w:sz w:val="24"/>
                <w:szCs w:val="24"/>
              </w:rPr>
            </w:pPr>
          </w:p>
        </w:tc>
        <w:tc>
          <w:tcPr>
            <w:tcW w:w="972" w:type="dxa"/>
            <w:vAlign w:val="center"/>
          </w:tcPr>
          <w:p w14:paraId="1AB37613">
            <w:pPr>
              <w:jc w:val="center"/>
              <w:rPr>
                <w:rFonts w:hint="eastAsia" w:ascii="宋体" w:hAnsi="宋体" w:eastAsia="宋体" w:cs="Times New Roman"/>
                <w:sz w:val="24"/>
                <w:szCs w:val="24"/>
              </w:rPr>
            </w:pPr>
          </w:p>
        </w:tc>
        <w:tc>
          <w:tcPr>
            <w:tcW w:w="1238" w:type="dxa"/>
            <w:vAlign w:val="center"/>
          </w:tcPr>
          <w:p w14:paraId="71C57D1C">
            <w:pPr>
              <w:jc w:val="center"/>
              <w:rPr>
                <w:rFonts w:hint="eastAsia" w:ascii="宋体" w:hAnsi="宋体" w:eastAsia="宋体" w:cs="Times New Roman"/>
                <w:sz w:val="24"/>
                <w:szCs w:val="24"/>
              </w:rPr>
            </w:pPr>
          </w:p>
        </w:tc>
        <w:tc>
          <w:tcPr>
            <w:tcW w:w="1621" w:type="dxa"/>
            <w:vAlign w:val="center"/>
          </w:tcPr>
          <w:p w14:paraId="405D7C94">
            <w:pPr>
              <w:jc w:val="center"/>
              <w:rPr>
                <w:rFonts w:hint="eastAsia" w:ascii="宋体" w:hAnsi="宋体" w:eastAsia="宋体" w:cs="Times New Roman"/>
                <w:sz w:val="24"/>
                <w:szCs w:val="24"/>
              </w:rPr>
            </w:pPr>
          </w:p>
        </w:tc>
      </w:tr>
      <w:tr w14:paraId="15AC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3C9D6A30">
            <w:pPr>
              <w:jc w:val="center"/>
              <w:rPr>
                <w:rFonts w:hint="eastAsia" w:ascii="宋体" w:hAnsi="宋体" w:eastAsia="宋体" w:cs="Times New Roman"/>
                <w:sz w:val="24"/>
                <w:szCs w:val="24"/>
              </w:rPr>
            </w:pPr>
          </w:p>
        </w:tc>
        <w:tc>
          <w:tcPr>
            <w:tcW w:w="1144" w:type="dxa"/>
            <w:vAlign w:val="center"/>
          </w:tcPr>
          <w:p w14:paraId="7DFF8122">
            <w:pPr>
              <w:jc w:val="center"/>
              <w:rPr>
                <w:rFonts w:hint="eastAsia" w:ascii="宋体" w:hAnsi="宋体" w:eastAsia="宋体" w:cs="Times New Roman"/>
                <w:sz w:val="24"/>
                <w:szCs w:val="24"/>
              </w:rPr>
            </w:pPr>
          </w:p>
        </w:tc>
        <w:tc>
          <w:tcPr>
            <w:tcW w:w="858" w:type="dxa"/>
            <w:vAlign w:val="center"/>
          </w:tcPr>
          <w:p w14:paraId="4E0A036A">
            <w:pPr>
              <w:jc w:val="center"/>
              <w:rPr>
                <w:rFonts w:hint="eastAsia" w:ascii="宋体" w:hAnsi="宋体" w:eastAsia="宋体" w:cs="Times New Roman"/>
                <w:sz w:val="24"/>
                <w:szCs w:val="24"/>
              </w:rPr>
            </w:pPr>
          </w:p>
        </w:tc>
        <w:tc>
          <w:tcPr>
            <w:tcW w:w="1048" w:type="dxa"/>
            <w:vAlign w:val="center"/>
          </w:tcPr>
          <w:p w14:paraId="7131E254">
            <w:pPr>
              <w:jc w:val="center"/>
              <w:rPr>
                <w:rFonts w:hint="eastAsia" w:ascii="宋体" w:hAnsi="宋体" w:eastAsia="宋体" w:cs="Times New Roman"/>
                <w:sz w:val="24"/>
                <w:szCs w:val="24"/>
              </w:rPr>
            </w:pPr>
          </w:p>
        </w:tc>
        <w:tc>
          <w:tcPr>
            <w:tcW w:w="1627" w:type="dxa"/>
            <w:vAlign w:val="center"/>
          </w:tcPr>
          <w:p w14:paraId="21C4B524">
            <w:pPr>
              <w:jc w:val="center"/>
              <w:rPr>
                <w:rFonts w:hint="eastAsia" w:ascii="宋体" w:hAnsi="宋体" w:eastAsia="宋体" w:cs="Times New Roman"/>
                <w:sz w:val="24"/>
                <w:szCs w:val="24"/>
              </w:rPr>
            </w:pPr>
          </w:p>
        </w:tc>
        <w:tc>
          <w:tcPr>
            <w:tcW w:w="972" w:type="dxa"/>
            <w:vAlign w:val="center"/>
          </w:tcPr>
          <w:p w14:paraId="1265ED0A">
            <w:pPr>
              <w:jc w:val="center"/>
              <w:rPr>
                <w:rFonts w:hint="eastAsia" w:ascii="宋体" w:hAnsi="宋体" w:eastAsia="宋体" w:cs="Times New Roman"/>
                <w:sz w:val="24"/>
                <w:szCs w:val="24"/>
              </w:rPr>
            </w:pPr>
          </w:p>
        </w:tc>
        <w:tc>
          <w:tcPr>
            <w:tcW w:w="1238" w:type="dxa"/>
            <w:vAlign w:val="center"/>
          </w:tcPr>
          <w:p w14:paraId="6B434CA1">
            <w:pPr>
              <w:jc w:val="center"/>
              <w:rPr>
                <w:rFonts w:hint="eastAsia" w:ascii="宋体" w:hAnsi="宋体" w:eastAsia="宋体" w:cs="Times New Roman"/>
                <w:sz w:val="24"/>
                <w:szCs w:val="24"/>
              </w:rPr>
            </w:pPr>
          </w:p>
        </w:tc>
        <w:tc>
          <w:tcPr>
            <w:tcW w:w="1621" w:type="dxa"/>
            <w:vAlign w:val="center"/>
          </w:tcPr>
          <w:p w14:paraId="0FDFBEF1">
            <w:pPr>
              <w:jc w:val="center"/>
              <w:rPr>
                <w:rFonts w:hint="eastAsia" w:ascii="宋体" w:hAnsi="宋体" w:eastAsia="宋体" w:cs="Times New Roman"/>
                <w:sz w:val="24"/>
                <w:szCs w:val="24"/>
              </w:rPr>
            </w:pPr>
          </w:p>
        </w:tc>
      </w:tr>
      <w:tr w14:paraId="121C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2420A970">
            <w:pPr>
              <w:jc w:val="center"/>
              <w:rPr>
                <w:rFonts w:hint="eastAsia" w:ascii="宋体" w:hAnsi="宋体" w:eastAsia="宋体" w:cs="Times New Roman"/>
                <w:sz w:val="24"/>
                <w:szCs w:val="24"/>
              </w:rPr>
            </w:pPr>
          </w:p>
        </w:tc>
        <w:tc>
          <w:tcPr>
            <w:tcW w:w="1144" w:type="dxa"/>
            <w:vAlign w:val="center"/>
          </w:tcPr>
          <w:p w14:paraId="14110309">
            <w:pPr>
              <w:jc w:val="center"/>
              <w:rPr>
                <w:rFonts w:hint="eastAsia" w:ascii="宋体" w:hAnsi="宋体" w:eastAsia="宋体" w:cs="Times New Roman"/>
                <w:sz w:val="24"/>
                <w:szCs w:val="24"/>
              </w:rPr>
            </w:pPr>
          </w:p>
        </w:tc>
        <w:tc>
          <w:tcPr>
            <w:tcW w:w="858" w:type="dxa"/>
            <w:vAlign w:val="center"/>
          </w:tcPr>
          <w:p w14:paraId="6BAE1F79">
            <w:pPr>
              <w:jc w:val="center"/>
              <w:rPr>
                <w:rFonts w:hint="eastAsia" w:ascii="宋体" w:hAnsi="宋体" w:eastAsia="宋体" w:cs="Times New Roman"/>
                <w:sz w:val="24"/>
                <w:szCs w:val="24"/>
              </w:rPr>
            </w:pPr>
          </w:p>
        </w:tc>
        <w:tc>
          <w:tcPr>
            <w:tcW w:w="1048" w:type="dxa"/>
            <w:vAlign w:val="center"/>
          </w:tcPr>
          <w:p w14:paraId="11FA4F6F">
            <w:pPr>
              <w:jc w:val="center"/>
              <w:rPr>
                <w:rFonts w:hint="eastAsia" w:ascii="宋体" w:hAnsi="宋体" w:eastAsia="宋体" w:cs="Times New Roman"/>
                <w:sz w:val="24"/>
                <w:szCs w:val="24"/>
              </w:rPr>
            </w:pPr>
          </w:p>
        </w:tc>
        <w:tc>
          <w:tcPr>
            <w:tcW w:w="1627" w:type="dxa"/>
            <w:vAlign w:val="center"/>
          </w:tcPr>
          <w:p w14:paraId="4AC60D25">
            <w:pPr>
              <w:jc w:val="center"/>
              <w:rPr>
                <w:rFonts w:hint="eastAsia" w:ascii="宋体" w:hAnsi="宋体" w:eastAsia="宋体" w:cs="Times New Roman"/>
                <w:sz w:val="24"/>
                <w:szCs w:val="24"/>
              </w:rPr>
            </w:pPr>
          </w:p>
        </w:tc>
        <w:tc>
          <w:tcPr>
            <w:tcW w:w="972" w:type="dxa"/>
            <w:vAlign w:val="center"/>
          </w:tcPr>
          <w:p w14:paraId="2AF32AA5">
            <w:pPr>
              <w:jc w:val="center"/>
              <w:rPr>
                <w:rFonts w:hint="eastAsia" w:ascii="宋体" w:hAnsi="宋体" w:eastAsia="宋体" w:cs="Times New Roman"/>
                <w:sz w:val="24"/>
                <w:szCs w:val="24"/>
              </w:rPr>
            </w:pPr>
          </w:p>
        </w:tc>
        <w:tc>
          <w:tcPr>
            <w:tcW w:w="1238" w:type="dxa"/>
            <w:vAlign w:val="center"/>
          </w:tcPr>
          <w:p w14:paraId="4DB7CC7D">
            <w:pPr>
              <w:jc w:val="center"/>
              <w:rPr>
                <w:rFonts w:hint="eastAsia" w:ascii="宋体" w:hAnsi="宋体" w:eastAsia="宋体" w:cs="Times New Roman"/>
                <w:sz w:val="24"/>
                <w:szCs w:val="24"/>
              </w:rPr>
            </w:pPr>
          </w:p>
        </w:tc>
        <w:tc>
          <w:tcPr>
            <w:tcW w:w="1621" w:type="dxa"/>
            <w:vAlign w:val="center"/>
          </w:tcPr>
          <w:p w14:paraId="1F2CBB5E">
            <w:pPr>
              <w:jc w:val="center"/>
              <w:rPr>
                <w:rFonts w:hint="eastAsia" w:ascii="宋体" w:hAnsi="宋体" w:eastAsia="宋体" w:cs="Times New Roman"/>
                <w:sz w:val="24"/>
                <w:szCs w:val="24"/>
              </w:rPr>
            </w:pPr>
          </w:p>
        </w:tc>
      </w:tr>
      <w:tr w14:paraId="28F3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74A9CF5C">
            <w:pPr>
              <w:jc w:val="center"/>
              <w:rPr>
                <w:rFonts w:hint="eastAsia" w:ascii="宋体" w:hAnsi="宋体" w:eastAsia="宋体" w:cs="Times New Roman"/>
                <w:sz w:val="24"/>
                <w:szCs w:val="24"/>
              </w:rPr>
            </w:pPr>
          </w:p>
        </w:tc>
        <w:tc>
          <w:tcPr>
            <w:tcW w:w="1144" w:type="dxa"/>
            <w:vAlign w:val="center"/>
          </w:tcPr>
          <w:p w14:paraId="3184FD3A">
            <w:pPr>
              <w:jc w:val="center"/>
              <w:rPr>
                <w:rFonts w:hint="eastAsia" w:ascii="宋体" w:hAnsi="宋体" w:eastAsia="宋体" w:cs="Times New Roman"/>
                <w:sz w:val="24"/>
                <w:szCs w:val="24"/>
              </w:rPr>
            </w:pPr>
          </w:p>
        </w:tc>
        <w:tc>
          <w:tcPr>
            <w:tcW w:w="858" w:type="dxa"/>
            <w:vAlign w:val="center"/>
          </w:tcPr>
          <w:p w14:paraId="55F356D6">
            <w:pPr>
              <w:jc w:val="center"/>
              <w:rPr>
                <w:rFonts w:hint="eastAsia" w:ascii="宋体" w:hAnsi="宋体" w:eastAsia="宋体" w:cs="Times New Roman"/>
                <w:sz w:val="24"/>
                <w:szCs w:val="24"/>
              </w:rPr>
            </w:pPr>
          </w:p>
        </w:tc>
        <w:tc>
          <w:tcPr>
            <w:tcW w:w="1048" w:type="dxa"/>
            <w:vAlign w:val="center"/>
          </w:tcPr>
          <w:p w14:paraId="7357357E">
            <w:pPr>
              <w:jc w:val="center"/>
              <w:rPr>
                <w:rFonts w:hint="eastAsia" w:ascii="宋体" w:hAnsi="宋体" w:eastAsia="宋体" w:cs="Times New Roman"/>
                <w:sz w:val="24"/>
                <w:szCs w:val="24"/>
              </w:rPr>
            </w:pPr>
          </w:p>
        </w:tc>
        <w:tc>
          <w:tcPr>
            <w:tcW w:w="1627" w:type="dxa"/>
            <w:vAlign w:val="center"/>
          </w:tcPr>
          <w:p w14:paraId="73AC163C">
            <w:pPr>
              <w:jc w:val="center"/>
              <w:rPr>
                <w:rFonts w:hint="eastAsia" w:ascii="宋体" w:hAnsi="宋体" w:eastAsia="宋体" w:cs="Times New Roman"/>
                <w:sz w:val="24"/>
                <w:szCs w:val="24"/>
              </w:rPr>
            </w:pPr>
          </w:p>
        </w:tc>
        <w:tc>
          <w:tcPr>
            <w:tcW w:w="972" w:type="dxa"/>
            <w:vAlign w:val="center"/>
          </w:tcPr>
          <w:p w14:paraId="2BDDF88E">
            <w:pPr>
              <w:jc w:val="center"/>
              <w:rPr>
                <w:rFonts w:hint="eastAsia" w:ascii="宋体" w:hAnsi="宋体" w:eastAsia="宋体" w:cs="Times New Roman"/>
                <w:sz w:val="24"/>
                <w:szCs w:val="24"/>
              </w:rPr>
            </w:pPr>
          </w:p>
        </w:tc>
        <w:tc>
          <w:tcPr>
            <w:tcW w:w="1238" w:type="dxa"/>
            <w:vAlign w:val="center"/>
          </w:tcPr>
          <w:p w14:paraId="7D9523B1">
            <w:pPr>
              <w:jc w:val="center"/>
              <w:rPr>
                <w:rFonts w:hint="eastAsia" w:ascii="宋体" w:hAnsi="宋体" w:eastAsia="宋体" w:cs="Times New Roman"/>
                <w:sz w:val="24"/>
                <w:szCs w:val="24"/>
              </w:rPr>
            </w:pPr>
          </w:p>
        </w:tc>
        <w:tc>
          <w:tcPr>
            <w:tcW w:w="1621" w:type="dxa"/>
            <w:vAlign w:val="center"/>
          </w:tcPr>
          <w:p w14:paraId="5D8741C6">
            <w:pPr>
              <w:jc w:val="center"/>
              <w:rPr>
                <w:rFonts w:hint="eastAsia" w:ascii="宋体" w:hAnsi="宋体" w:eastAsia="宋体" w:cs="Times New Roman"/>
                <w:sz w:val="24"/>
                <w:szCs w:val="24"/>
              </w:rPr>
            </w:pPr>
          </w:p>
        </w:tc>
      </w:tr>
      <w:tr w14:paraId="151C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1358A7EE">
            <w:pPr>
              <w:jc w:val="center"/>
              <w:rPr>
                <w:rFonts w:hint="eastAsia" w:ascii="宋体" w:hAnsi="宋体" w:eastAsia="宋体" w:cs="Times New Roman"/>
                <w:sz w:val="24"/>
                <w:szCs w:val="24"/>
              </w:rPr>
            </w:pPr>
          </w:p>
        </w:tc>
        <w:tc>
          <w:tcPr>
            <w:tcW w:w="1144" w:type="dxa"/>
            <w:vAlign w:val="center"/>
          </w:tcPr>
          <w:p w14:paraId="4B2F12AD">
            <w:pPr>
              <w:jc w:val="center"/>
              <w:rPr>
                <w:rFonts w:hint="eastAsia" w:ascii="宋体" w:hAnsi="宋体" w:eastAsia="宋体" w:cs="Times New Roman"/>
                <w:sz w:val="24"/>
                <w:szCs w:val="24"/>
              </w:rPr>
            </w:pPr>
          </w:p>
        </w:tc>
        <w:tc>
          <w:tcPr>
            <w:tcW w:w="858" w:type="dxa"/>
            <w:vAlign w:val="center"/>
          </w:tcPr>
          <w:p w14:paraId="67EC600B">
            <w:pPr>
              <w:jc w:val="center"/>
              <w:rPr>
                <w:rFonts w:hint="eastAsia" w:ascii="宋体" w:hAnsi="宋体" w:eastAsia="宋体" w:cs="Times New Roman"/>
                <w:sz w:val="24"/>
                <w:szCs w:val="24"/>
              </w:rPr>
            </w:pPr>
          </w:p>
        </w:tc>
        <w:tc>
          <w:tcPr>
            <w:tcW w:w="1048" w:type="dxa"/>
            <w:vAlign w:val="center"/>
          </w:tcPr>
          <w:p w14:paraId="722D8718">
            <w:pPr>
              <w:jc w:val="center"/>
              <w:rPr>
                <w:rFonts w:hint="eastAsia" w:ascii="宋体" w:hAnsi="宋体" w:eastAsia="宋体" w:cs="Times New Roman"/>
                <w:sz w:val="24"/>
                <w:szCs w:val="24"/>
              </w:rPr>
            </w:pPr>
          </w:p>
        </w:tc>
        <w:tc>
          <w:tcPr>
            <w:tcW w:w="1627" w:type="dxa"/>
            <w:vAlign w:val="center"/>
          </w:tcPr>
          <w:p w14:paraId="57A4A2A5">
            <w:pPr>
              <w:jc w:val="center"/>
              <w:rPr>
                <w:rFonts w:hint="eastAsia" w:ascii="宋体" w:hAnsi="宋体" w:eastAsia="宋体" w:cs="Times New Roman"/>
                <w:sz w:val="24"/>
                <w:szCs w:val="24"/>
              </w:rPr>
            </w:pPr>
          </w:p>
        </w:tc>
        <w:tc>
          <w:tcPr>
            <w:tcW w:w="972" w:type="dxa"/>
            <w:vAlign w:val="center"/>
          </w:tcPr>
          <w:p w14:paraId="620088C1">
            <w:pPr>
              <w:jc w:val="center"/>
              <w:rPr>
                <w:rFonts w:hint="eastAsia" w:ascii="宋体" w:hAnsi="宋体" w:eastAsia="宋体" w:cs="Times New Roman"/>
                <w:sz w:val="24"/>
                <w:szCs w:val="24"/>
              </w:rPr>
            </w:pPr>
          </w:p>
        </w:tc>
        <w:tc>
          <w:tcPr>
            <w:tcW w:w="1238" w:type="dxa"/>
            <w:vAlign w:val="center"/>
          </w:tcPr>
          <w:p w14:paraId="498B34C5">
            <w:pPr>
              <w:jc w:val="center"/>
              <w:rPr>
                <w:rFonts w:hint="eastAsia" w:ascii="宋体" w:hAnsi="宋体" w:eastAsia="宋体" w:cs="Times New Roman"/>
                <w:sz w:val="24"/>
                <w:szCs w:val="24"/>
              </w:rPr>
            </w:pPr>
          </w:p>
        </w:tc>
        <w:tc>
          <w:tcPr>
            <w:tcW w:w="1621" w:type="dxa"/>
            <w:vAlign w:val="center"/>
          </w:tcPr>
          <w:p w14:paraId="7C744F8A">
            <w:pPr>
              <w:jc w:val="center"/>
              <w:rPr>
                <w:rFonts w:hint="eastAsia" w:ascii="宋体" w:hAnsi="宋体" w:eastAsia="宋体" w:cs="Times New Roman"/>
                <w:sz w:val="24"/>
                <w:szCs w:val="24"/>
              </w:rPr>
            </w:pPr>
          </w:p>
        </w:tc>
      </w:tr>
    </w:tbl>
    <w:p w14:paraId="7E0843D0">
      <w:pPr>
        <w:rPr>
          <w:rFonts w:hint="eastAsia" w:ascii="宋体" w:hAnsi="宋体" w:eastAsia="宋体" w:cs="Times New Roman"/>
          <w:b/>
          <w:szCs w:val="24"/>
        </w:rPr>
      </w:pPr>
    </w:p>
    <w:p w14:paraId="1E1E8D7B">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15267889">
      <w:pPr>
        <w:autoSpaceDE w:val="0"/>
        <w:autoSpaceDN w:val="0"/>
        <w:adjustRightInd w:val="0"/>
        <w:snapToGrid w:val="0"/>
        <w:spacing w:line="360" w:lineRule="auto"/>
        <w:rPr>
          <w:rFonts w:hint="eastAsia" w:ascii="宋体" w:hAnsi="宋体" w:eastAsia="宋体" w:cs="宋体"/>
          <w:spacing w:val="11"/>
          <w:kern w:val="0"/>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3F96D20">
      <w:pPr>
        <w:spacing w:line="360" w:lineRule="auto"/>
        <w:rPr>
          <w:rFonts w:ascii="Times New Roman" w:hAnsi="Times New Roman" w:eastAsia="宋体" w:cs="Times New Roman"/>
          <w:b/>
          <w:sz w:val="28"/>
          <w:szCs w:val="28"/>
        </w:rPr>
        <w:sectPr>
          <w:pgSz w:w="11906" w:h="16838"/>
          <w:pgMar w:top="1803" w:right="1440" w:bottom="1803" w:left="1440" w:header="851" w:footer="851" w:gutter="0"/>
          <w:cols w:space="720" w:num="1"/>
          <w:docGrid w:linePitch="312" w:charSpace="0"/>
        </w:sectPr>
      </w:pPr>
    </w:p>
    <w:p w14:paraId="6EA88A34">
      <w:pPr>
        <w:spacing w:line="360" w:lineRule="auto"/>
        <w:jc w:val="center"/>
        <w:rPr>
          <w:rFonts w:ascii="Times New Roman" w:hAnsi="Times New Roman" w:eastAsia="宋体" w:cs="Times New Roman"/>
          <w:b/>
          <w:sz w:val="36"/>
          <w:szCs w:val="36"/>
        </w:rPr>
      </w:pPr>
    </w:p>
    <w:p w14:paraId="52CADAF6">
      <w:pPr>
        <w:spacing w:line="360" w:lineRule="auto"/>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附件五</w:t>
      </w:r>
      <w:r>
        <w:rPr>
          <w:rFonts w:hint="eastAsia" w:ascii="Times New Roman" w:hAnsi="Times New Roman" w:eastAsia="宋体" w:cs="Times New Roman"/>
          <w:b/>
          <w:sz w:val="28"/>
          <w:szCs w:val="28"/>
        </w:rPr>
        <w:t>、</w:t>
      </w:r>
      <w:r>
        <w:rPr>
          <w:rFonts w:hint="eastAsia" w:ascii="Times New Roman" w:hAnsi="Times New Roman" w:eastAsia="宋体" w:cs="Times New Roman"/>
          <w:b/>
          <w:sz w:val="36"/>
          <w:szCs w:val="36"/>
        </w:rPr>
        <w:t>近三年类似项目业绩表</w:t>
      </w:r>
    </w:p>
    <w:tbl>
      <w:tblPr>
        <w:tblStyle w:val="58"/>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365"/>
        <w:gridCol w:w="1365"/>
        <w:gridCol w:w="1365"/>
        <w:gridCol w:w="1365"/>
        <w:gridCol w:w="1357"/>
      </w:tblGrid>
      <w:tr w14:paraId="2E03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4B3EE2C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项目或指标</w:t>
            </w:r>
          </w:p>
        </w:tc>
        <w:tc>
          <w:tcPr>
            <w:tcW w:w="1365" w:type="dxa"/>
            <w:vAlign w:val="center"/>
          </w:tcPr>
          <w:p w14:paraId="468E330C">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1</w:t>
            </w:r>
          </w:p>
        </w:tc>
        <w:tc>
          <w:tcPr>
            <w:tcW w:w="1365" w:type="dxa"/>
            <w:vAlign w:val="center"/>
          </w:tcPr>
          <w:p w14:paraId="584935E4">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2</w:t>
            </w:r>
          </w:p>
        </w:tc>
        <w:tc>
          <w:tcPr>
            <w:tcW w:w="1365" w:type="dxa"/>
            <w:vAlign w:val="center"/>
          </w:tcPr>
          <w:p w14:paraId="0BA5403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3</w:t>
            </w:r>
          </w:p>
        </w:tc>
        <w:tc>
          <w:tcPr>
            <w:tcW w:w="1365" w:type="dxa"/>
            <w:vAlign w:val="center"/>
          </w:tcPr>
          <w:p w14:paraId="5D9CAC3B">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4</w:t>
            </w:r>
          </w:p>
        </w:tc>
        <w:tc>
          <w:tcPr>
            <w:tcW w:w="1357" w:type="dxa"/>
          </w:tcPr>
          <w:p w14:paraId="5E884D1E">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FB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04C925E">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项目名称</w:t>
            </w:r>
          </w:p>
        </w:tc>
        <w:tc>
          <w:tcPr>
            <w:tcW w:w="1365" w:type="dxa"/>
            <w:vAlign w:val="center"/>
          </w:tcPr>
          <w:p w14:paraId="2497F425">
            <w:pPr>
              <w:spacing w:line="360" w:lineRule="auto"/>
              <w:jc w:val="center"/>
              <w:rPr>
                <w:rFonts w:ascii="Times New Roman" w:hAnsi="Times New Roman" w:eastAsia="宋体" w:cs="Times New Roman"/>
                <w:sz w:val="24"/>
                <w:szCs w:val="24"/>
              </w:rPr>
            </w:pPr>
          </w:p>
        </w:tc>
        <w:tc>
          <w:tcPr>
            <w:tcW w:w="1365" w:type="dxa"/>
            <w:vAlign w:val="center"/>
          </w:tcPr>
          <w:p w14:paraId="747DFAAB">
            <w:pPr>
              <w:spacing w:line="360" w:lineRule="auto"/>
              <w:jc w:val="center"/>
              <w:rPr>
                <w:rFonts w:ascii="Times New Roman" w:hAnsi="Times New Roman" w:eastAsia="宋体" w:cs="Times New Roman"/>
                <w:sz w:val="24"/>
                <w:szCs w:val="24"/>
              </w:rPr>
            </w:pPr>
          </w:p>
        </w:tc>
        <w:tc>
          <w:tcPr>
            <w:tcW w:w="1365" w:type="dxa"/>
            <w:vAlign w:val="center"/>
          </w:tcPr>
          <w:p w14:paraId="20065A0D">
            <w:pPr>
              <w:spacing w:line="360" w:lineRule="auto"/>
              <w:jc w:val="center"/>
              <w:rPr>
                <w:rFonts w:ascii="Times New Roman" w:hAnsi="Times New Roman" w:eastAsia="宋体" w:cs="Times New Roman"/>
                <w:sz w:val="24"/>
                <w:szCs w:val="24"/>
              </w:rPr>
            </w:pPr>
          </w:p>
        </w:tc>
        <w:tc>
          <w:tcPr>
            <w:tcW w:w="1365" w:type="dxa"/>
            <w:vAlign w:val="center"/>
          </w:tcPr>
          <w:p w14:paraId="2EB955CD">
            <w:pPr>
              <w:spacing w:line="360" w:lineRule="auto"/>
              <w:jc w:val="center"/>
              <w:rPr>
                <w:rFonts w:ascii="Times New Roman" w:hAnsi="Times New Roman" w:eastAsia="宋体" w:cs="Times New Roman"/>
                <w:sz w:val="24"/>
                <w:szCs w:val="24"/>
              </w:rPr>
            </w:pPr>
          </w:p>
        </w:tc>
        <w:tc>
          <w:tcPr>
            <w:tcW w:w="1357" w:type="dxa"/>
            <w:vAlign w:val="center"/>
          </w:tcPr>
          <w:p w14:paraId="171D725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18C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3932C61C">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项目地点</w:t>
            </w:r>
          </w:p>
        </w:tc>
        <w:tc>
          <w:tcPr>
            <w:tcW w:w="1365" w:type="dxa"/>
            <w:vAlign w:val="center"/>
          </w:tcPr>
          <w:p w14:paraId="6BE6E986">
            <w:pPr>
              <w:spacing w:line="360" w:lineRule="auto"/>
              <w:jc w:val="center"/>
              <w:rPr>
                <w:rFonts w:ascii="Times New Roman" w:hAnsi="Times New Roman" w:eastAsia="宋体" w:cs="Times New Roman"/>
                <w:sz w:val="24"/>
                <w:szCs w:val="24"/>
              </w:rPr>
            </w:pPr>
          </w:p>
        </w:tc>
        <w:tc>
          <w:tcPr>
            <w:tcW w:w="1365" w:type="dxa"/>
            <w:vAlign w:val="center"/>
          </w:tcPr>
          <w:p w14:paraId="1499B337">
            <w:pPr>
              <w:spacing w:line="360" w:lineRule="auto"/>
              <w:jc w:val="center"/>
              <w:rPr>
                <w:rFonts w:ascii="Times New Roman" w:hAnsi="Times New Roman" w:eastAsia="宋体" w:cs="Times New Roman"/>
                <w:sz w:val="24"/>
                <w:szCs w:val="24"/>
              </w:rPr>
            </w:pPr>
          </w:p>
        </w:tc>
        <w:tc>
          <w:tcPr>
            <w:tcW w:w="1365" w:type="dxa"/>
            <w:vAlign w:val="center"/>
          </w:tcPr>
          <w:p w14:paraId="677D106E">
            <w:pPr>
              <w:spacing w:line="360" w:lineRule="auto"/>
              <w:jc w:val="center"/>
              <w:rPr>
                <w:rFonts w:ascii="Times New Roman" w:hAnsi="Times New Roman" w:eastAsia="宋体" w:cs="Times New Roman"/>
                <w:sz w:val="24"/>
                <w:szCs w:val="24"/>
              </w:rPr>
            </w:pPr>
          </w:p>
        </w:tc>
        <w:tc>
          <w:tcPr>
            <w:tcW w:w="1365" w:type="dxa"/>
            <w:vAlign w:val="center"/>
          </w:tcPr>
          <w:p w14:paraId="43EC48CB">
            <w:pPr>
              <w:spacing w:line="360" w:lineRule="auto"/>
              <w:jc w:val="center"/>
              <w:rPr>
                <w:rFonts w:ascii="Times New Roman" w:hAnsi="Times New Roman" w:eastAsia="宋体" w:cs="Times New Roman"/>
                <w:sz w:val="24"/>
                <w:szCs w:val="24"/>
              </w:rPr>
            </w:pPr>
          </w:p>
        </w:tc>
        <w:tc>
          <w:tcPr>
            <w:tcW w:w="1357" w:type="dxa"/>
            <w:vAlign w:val="center"/>
          </w:tcPr>
          <w:p w14:paraId="5AB15EB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728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F7F6F4B">
            <w:pPr>
              <w:jc w:val="center"/>
              <w:rPr>
                <w:rFonts w:ascii="Times New Roman" w:hAnsi="Times New Roman" w:eastAsia="宋体" w:cs="Times New Roman"/>
                <w:szCs w:val="21"/>
              </w:rPr>
            </w:pPr>
            <w:r>
              <w:rPr>
                <w:rFonts w:hint="eastAsia" w:ascii="Times New Roman" w:hAnsi="Times New Roman" w:eastAsia="宋体" w:cs="Times New Roman"/>
                <w:sz w:val="24"/>
                <w:szCs w:val="24"/>
              </w:rPr>
              <w:t>项目</w:t>
            </w:r>
            <w:r>
              <w:rPr>
                <w:rFonts w:hint="eastAsia" w:ascii="Times New Roman" w:hAnsi="Times New Roman" w:eastAsia="宋体" w:cs="Times New Roman"/>
                <w:szCs w:val="21"/>
              </w:rPr>
              <w:t>规模</w:t>
            </w:r>
          </w:p>
          <w:p w14:paraId="06DD8763">
            <w:pPr>
              <w:jc w:val="center"/>
              <w:rPr>
                <w:rFonts w:ascii="Times New Roman" w:hAnsi="Times New Roman" w:eastAsia="宋体" w:cs="Times New Roman"/>
                <w:szCs w:val="21"/>
              </w:rPr>
            </w:pPr>
            <w:r>
              <w:rPr>
                <w:rFonts w:hint="eastAsia" w:ascii="Times New Roman" w:hAnsi="Times New Roman" w:eastAsia="宋体" w:cs="Times New Roman"/>
                <w:szCs w:val="21"/>
              </w:rPr>
              <w:t>（合同总价）</w:t>
            </w:r>
          </w:p>
        </w:tc>
        <w:tc>
          <w:tcPr>
            <w:tcW w:w="1365" w:type="dxa"/>
            <w:vAlign w:val="center"/>
          </w:tcPr>
          <w:p w14:paraId="7B9F8D3F">
            <w:pPr>
              <w:spacing w:line="360" w:lineRule="auto"/>
              <w:jc w:val="center"/>
              <w:rPr>
                <w:rFonts w:ascii="Times New Roman" w:hAnsi="Times New Roman" w:eastAsia="宋体" w:cs="Times New Roman"/>
                <w:sz w:val="24"/>
                <w:szCs w:val="24"/>
              </w:rPr>
            </w:pPr>
          </w:p>
        </w:tc>
        <w:tc>
          <w:tcPr>
            <w:tcW w:w="1365" w:type="dxa"/>
            <w:vAlign w:val="center"/>
          </w:tcPr>
          <w:p w14:paraId="32FA9124">
            <w:pPr>
              <w:spacing w:line="360" w:lineRule="auto"/>
              <w:jc w:val="center"/>
              <w:rPr>
                <w:rFonts w:ascii="Times New Roman" w:hAnsi="Times New Roman" w:eastAsia="宋体" w:cs="Times New Roman"/>
                <w:sz w:val="24"/>
                <w:szCs w:val="24"/>
              </w:rPr>
            </w:pPr>
          </w:p>
        </w:tc>
        <w:tc>
          <w:tcPr>
            <w:tcW w:w="1365" w:type="dxa"/>
            <w:vAlign w:val="center"/>
          </w:tcPr>
          <w:p w14:paraId="519ED13E">
            <w:pPr>
              <w:spacing w:line="360" w:lineRule="auto"/>
              <w:jc w:val="center"/>
              <w:rPr>
                <w:rFonts w:ascii="Times New Roman" w:hAnsi="Times New Roman" w:eastAsia="宋体" w:cs="Times New Roman"/>
                <w:sz w:val="24"/>
                <w:szCs w:val="24"/>
              </w:rPr>
            </w:pPr>
          </w:p>
        </w:tc>
        <w:tc>
          <w:tcPr>
            <w:tcW w:w="1365" w:type="dxa"/>
            <w:vAlign w:val="center"/>
          </w:tcPr>
          <w:p w14:paraId="54CE1615">
            <w:pPr>
              <w:spacing w:line="360" w:lineRule="auto"/>
              <w:jc w:val="center"/>
              <w:rPr>
                <w:rFonts w:ascii="Times New Roman" w:hAnsi="Times New Roman" w:eastAsia="宋体" w:cs="Times New Roman"/>
                <w:sz w:val="24"/>
                <w:szCs w:val="24"/>
              </w:rPr>
            </w:pPr>
          </w:p>
        </w:tc>
        <w:tc>
          <w:tcPr>
            <w:tcW w:w="1357" w:type="dxa"/>
            <w:vAlign w:val="center"/>
          </w:tcPr>
          <w:p w14:paraId="01320650">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00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7732F7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项目完成日期</w:t>
            </w:r>
          </w:p>
        </w:tc>
        <w:tc>
          <w:tcPr>
            <w:tcW w:w="1365" w:type="dxa"/>
            <w:vAlign w:val="center"/>
          </w:tcPr>
          <w:p w14:paraId="7941F27B">
            <w:pPr>
              <w:spacing w:line="360" w:lineRule="auto"/>
              <w:jc w:val="center"/>
              <w:rPr>
                <w:rFonts w:ascii="Times New Roman" w:hAnsi="Times New Roman" w:eastAsia="宋体" w:cs="Times New Roman"/>
                <w:sz w:val="24"/>
                <w:szCs w:val="24"/>
              </w:rPr>
            </w:pPr>
          </w:p>
        </w:tc>
        <w:tc>
          <w:tcPr>
            <w:tcW w:w="1365" w:type="dxa"/>
            <w:vAlign w:val="center"/>
          </w:tcPr>
          <w:p w14:paraId="7200573C">
            <w:pPr>
              <w:spacing w:line="360" w:lineRule="auto"/>
              <w:jc w:val="center"/>
              <w:rPr>
                <w:rFonts w:ascii="Times New Roman" w:hAnsi="Times New Roman" w:eastAsia="宋体" w:cs="Times New Roman"/>
                <w:sz w:val="24"/>
                <w:szCs w:val="24"/>
              </w:rPr>
            </w:pPr>
          </w:p>
        </w:tc>
        <w:tc>
          <w:tcPr>
            <w:tcW w:w="1365" w:type="dxa"/>
            <w:vAlign w:val="center"/>
          </w:tcPr>
          <w:p w14:paraId="121F910F">
            <w:pPr>
              <w:spacing w:line="360" w:lineRule="auto"/>
              <w:jc w:val="center"/>
              <w:rPr>
                <w:rFonts w:ascii="Times New Roman" w:hAnsi="Times New Roman" w:eastAsia="宋体" w:cs="Times New Roman"/>
                <w:sz w:val="24"/>
                <w:szCs w:val="24"/>
              </w:rPr>
            </w:pPr>
          </w:p>
        </w:tc>
        <w:tc>
          <w:tcPr>
            <w:tcW w:w="1365" w:type="dxa"/>
            <w:vAlign w:val="center"/>
          </w:tcPr>
          <w:p w14:paraId="600CB474">
            <w:pPr>
              <w:spacing w:line="360" w:lineRule="auto"/>
              <w:jc w:val="center"/>
              <w:rPr>
                <w:rFonts w:ascii="Times New Roman" w:hAnsi="Times New Roman" w:eastAsia="宋体" w:cs="Times New Roman"/>
                <w:sz w:val="24"/>
                <w:szCs w:val="24"/>
              </w:rPr>
            </w:pPr>
          </w:p>
        </w:tc>
        <w:tc>
          <w:tcPr>
            <w:tcW w:w="1357" w:type="dxa"/>
            <w:vAlign w:val="center"/>
          </w:tcPr>
          <w:p w14:paraId="6273B55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8B6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7625ACA">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合同工期/实际工期</w:t>
            </w:r>
          </w:p>
        </w:tc>
        <w:tc>
          <w:tcPr>
            <w:tcW w:w="1365" w:type="dxa"/>
            <w:vAlign w:val="center"/>
          </w:tcPr>
          <w:p w14:paraId="6341BD4A">
            <w:pPr>
              <w:spacing w:line="360" w:lineRule="auto"/>
              <w:jc w:val="center"/>
              <w:rPr>
                <w:rFonts w:ascii="Times New Roman" w:hAnsi="Times New Roman" w:eastAsia="宋体" w:cs="Times New Roman"/>
                <w:sz w:val="24"/>
                <w:szCs w:val="24"/>
              </w:rPr>
            </w:pPr>
          </w:p>
        </w:tc>
        <w:tc>
          <w:tcPr>
            <w:tcW w:w="1365" w:type="dxa"/>
            <w:vAlign w:val="center"/>
          </w:tcPr>
          <w:p w14:paraId="6C07ABC7">
            <w:pPr>
              <w:spacing w:line="360" w:lineRule="auto"/>
              <w:jc w:val="center"/>
              <w:rPr>
                <w:rFonts w:ascii="Times New Roman" w:hAnsi="Times New Roman" w:eastAsia="宋体" w:cs="Times New Roman"/>
                <w:sz w:val="24"/>
                <w:szCs w:val="24"/>
              </w:rPr>
            </w:pPr>
          </w:p>
        </w:tc>
        <w:tc>
          <w:tcPr>
            <w:tcW w:w="1365" w:type="dxa"/>
            <w:vAlign w:val="center"/>
          </w:tcPr>
          <w:p w14:paraId="7D55E0B5">
            <w:pPr>
              <w:spacing w:line="360" w:lineRule="auto"/>
              <w:jc w:val="center"/>
              <w:rPr>
                <w:rFonts w:ascii="Times New Roman" w:hAnsi="Times New Roman" w:eastAsia="宋体" w:cs="Times New Roman"/>
                <w:sz w:val="24"/>
                <w:szCs w:val="24"/>
              </w:rPr>
            </w:pPr>
          </w:p>
        </w:tc>
        <w:tc>
          <w:tcPr>
            <w:tcW w:w="1365" w:type="dxa"/>
            <w:vAlign w:val="center"/>
          </w:tcPr>
          <w:p w14:paraId="629A83DA">
            <w:pPr>
              <w:spacing w:line="360" w:lineRule="auto"/>
              <w:jc w:val="center"/>
              <w:rPr>
                <w:rFonts w:ascii="Times New Roman" w:hAnsi="Times New Roman" w:eastAsia="宋体" w:cs="Times New Roman"/>
                <w:sz w:val="24"/>
                <w:szCs w:val="24"/>
              </w:rPr>
            </w:pPr>
          </w:p>
        </w:tc>
        <w:tc>
          <w:tcPr>
            <w:tcW w:w="1357" w:type="dxa"/>
            <w:vAlign w:val="center"/>
          </w:tcPr>
          <w:p w14:paraId="5CC12506">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3D37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3DED7D3">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完成质量评定</w:t>
            </w:r>
          </w:p>
        </w:tc>
        <w:tc>
          <w:tcPr>
            <w:tcW w:w="1365" w:type="dxa"/>
            <w:vAlign w:val="center"/>
          </w:tcPr>
          <w:p w14:paraId="170A6830">
            <w:pPr>
              <w:spacing w:line="360" w:lineRule="auto"/>
              <w:jc w:val="center"/>
              <w:rPr>
                <w:rFonts w:ascii="Times New Roman" w:hAnsi="Times New Roman" w:eastAsia="宋体" w:cs="Times New Roman"/>
                <w:sz w:val="24"/>
                <w:szCs w:val="24"/>
              </w:rPr>
            </w:pPr>
          </w:p>
        </w:tc>
        <w:tc>
          <w:tcPr>
            <w:tcW w:w="1365" w:type="dxa"/>
            <w:vAlign w:val="center"/>
          </w:tcPr>
          <w:p w14:paraId="054BA533">
            <w:pPr>
              <w:spacing w:line="360" w:lineRule="auto"/>
              <w:jc w:val="center"/>
              <w:rPr>
                <w:rFonts w:ascii="Times New Roman" w:hAnsi="Times New Roman" w:eastAsia="宋体" w:cs="Times New Roman"/>
                <w:sz w:val="24"/>
                <w:szCs w:val="24"/>
              </w:rPr>
            </w:pPr>
          </w:p>
        </w:tc>
        <w:tc>
          <w:tcPr>
            <w:tcW w:w="1365" w:type="dxa"/>
            <w:vAlign w:val="center"/>
          </w:tcPr>
          <w:p w14:paraId="420D4C00">
            <w:pPr>
              <w:spacing w:line="360" w:lineRule="auto"/>
              <w:jc w:val="center"/>
              <w:rPr>
                <w:rFonts w:ascii="Times New Roman" w:hAnsi="Times New Roman" w:eastAsia="宋体" w:cs="Times New Roman"/>
                <w:sz w:val="24"/>
                <w:szCs w:val="24"/>
              </w:rPr>
            </w:pPr>
          </w:p>
        </w:tc>
        <w:tc>
          <w:tcPr>
            <w:tcW w:w="1365" w:type="dxa"/>
            <w:vAlign w:val="center"/>
          </w:tcPr>
          <w:p w14:paraId="132977DD">
            <w:pPr>
              <w:spacing w:line="360" w:lineRule="auto"/>
              <w:jc w:val="center"/>
              <w:rPr>
                <w:rFonts w:ascii="Times New Roman" w:hAnsi="Times New Roman" w:eastAsia="宋体" w:cs="Times New Roman"/>
                <w:sz w:val="24"/>
                <w:szCs w:val="24"/>
              </w:rPr>
            </w:pPr>
          </w:p>
        </w:tc>
        <w:tc>
          <w:tcPr>
            <w:tcW w:w="1357" w:type="dxa"/>
            <w:vAlign w:val="center"/>
          </w:tcPr>
          <w:p w14:paraId="38E82749">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535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4DF647">
            <w:pPr>
              <w:jc w:val="center"/>
              <w:rPr>
                <w:rFonts w:ascii="Times New Roman" w:hAnsi="Times New Roman" w:eastAsia="宋体" w:cs="Times New Roman"/>
                <w:szCs w:val="21"/>
              </w:rPr>
            </w:pPr>
            <w:r>
              <w:rPr>
                <w:rFonts w:hint="eastAsia" w:ascii="Times New Roman" w:hAnsi="Times New Roman" w:eastAsia="宋体" w:cs="Times New Roman"/>
                <w:szCs w:val="21"/>
              </w:rPr>
              <w:t>获奖情况</w:t>
            </w:r>
          </w:p>
          <w:p w14:paraId="74EDBB2F">
            <w:pPr>
              <w:jc w:val="center"/>
              <w:rPr>
                <w:rFonts w:ascii="Times New Roman" w:hAnsi="Times New Roman" w:eastAsia="宋体" w:cs="Times New Roman"/>
                <w:szCs w:val="21"/>
              </w:rPr>
            </w:pPr>
            <w:r>
              <w:rPr>
                <w:rFonts w:hint="eastAsia" w:ascii="Times New Roman" w:hAnsi="Times New Roman" w:eastAsia="宋体" w:cs="Times New Roman"/>
                <w:szCs w:val="21"/>
              </w:rPr>
              <w:t>（仅限部、省级以上）</w:t>
            </w:r>
          </w:p>
        </w:tc>
        <w:tc>
          <w:tcPr>
            <w:tcW w:w="1365" w:type="dxa"/>
            <w:vAlign w:val="center"/>
          </w:tcPr>
          <w:p w14:paraId="5F32FF85">
            <w:pPr>
              <w:spacing w:line="360" w:lineRule="auto"/>
              <w:jc w:val="center"/>
              <w:rPr>
                <w:rFonts w:ascii="Times New Roman" w:hAnsi="Times New Roman" w:eastAsia="宋体" w:cs="Times New Roman"/>
                <w:sz w:val="24"/>
                <w:szCs w:val="24"/>
              </w:rPr>
            </w:pPr>
          </w:p>
        </w:tc>
        <w:tc>
          <w:tcPr>
            <w:tcW w:w="1365" w:type="dxa"/>
            <w:vAlign w:val="center"/>
          </w:tcPr>
          <w:p w14:paraId="42817E7D">
            <w:pPr>
              <w:spacing w:line="360" w:lineRule="auto"/>
              <w:jc w:val="center"/>
              <w:rPr>
                <w:rFonts w:ascii="Times New Roman" w:hAnsi="Times New Roman" w:eastAsia="宋体" w:cs="Times New Roman"/>
                <w:sz w:val="24"/>
                <w:szCs w:val="24"/>
              </w:rPr>
            </w:pPr>
          </w:p>
        </w:tc>
        <w:tc>
          <w:tcPr>
            <w:tcW w:w="1365" w:type="dxa"/>
            <w:vAlign w:val="center"/>
          </w:tcPr>
          <w:p w14:paraId="7CDE4DD5">
            <w:pPr>
              <w:spacing w:line="360" w:lineRule="auto"/>
              <w:jc w:val="center"/>
              <w:rPr>
                <w:rFonts w:ascii="Times New Roman" w:hAnsi="Times New Roman" w:eastAsia="宋体" w:cs="Times New Roman"/>
                <w:sz w:val="24"/>
                <w:szCs w:val="24"/>
              </w:rPr>
            </w:pPr>
          </w:p>
        </w:tc>
        <w:tc>
          <w:tcPr>
            <w:tcW w:w="1365" w:type="dxa"/>
            <w:vAlign w:val="center"/>
          </w:tcPr>
          <w:p w14:paraId="775CEF11">
            <w:pPr>
              <w:spacing w:line="360" w:lineRule="auto"/>
              <w:jc w:val="center"/>
              <w:rPr>
                <w:rFonts w:ascii="Times New Roman" w:hAnsi="Times New Roman" w:eastAsia="宋体" w:cs="Times New Roman"/>
                <w:sz w:val="24"/>
                <w:szCs w:val="24"/>
              </w:rPr>
            </w:pPr>
          </w:p>
        </w:tc>
        <w:tc>
          <w:tcPr>
            <w:tcW w:w="1357" w:type="dxa"/>
            <w:vAlign w:val="center"/>
          </w:tcPr>
          <w:p w14:paraId="434C67C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F9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C6640A8">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业主名称</w:t>
            </w:r>
          </w:p>
        </w:tc>
        <w:tc>
          <w:tcPr>
            <w:tcW w:w="1365" w:type="dxa"/>
            <w:vAlign w:val="center"/>
          </w:tcPr>
          <w:p w14:paraId="59CB6118">
            <w:pPr>
              <w:spacing w:line="360" w:lineRule="auto"/>
              <w:jc w:val="center"/>
              <w:rPr>
                <w:rFonts w:ascii="Times New Roman" w:hAnsi="Times New Roman" w:eastAsia="宋体" w:cs="Times New Roman"/>
                <w:sz w:val="24"/>
                <w:szCs w:val="24"/>
              </w:rPr>
            </w:pPr>
          </w:p>
        </w:tc>
        <w:tc>
          <w:tcPr>
            <w:tcW w:w="1365" w:type="dxa"/>
            <w:vAlign w:val="center"/>
          </w:tcPr>
          <w:p w14:paraId="6A58BD6B">
            <w:pPr>
              <w:spacing w:line="360" w:lineRule="auto"/>
              <w:jc w:val="center"/>
              <w:rPr>
                <w:rFonts w:ascii="Times New Roman" w:hAnsi="Times New Roman" w:eastAsia="宋体" w:cs="Times New Roman"/>
                <w:sz w:val="24"/>
                <w:szCs w:val="24"/>
              </w:rPr>
            </w:pPr>
          </w:p>
        </w:tc>
        <w:tc>
          <w:tcPr>
            <w:tcW w:w="1365" w:type="dxa"/>
            <w:vAlign w:val="center"/>
          </w:tcPr>
          <w:p w14:paraId="69679AB2">
            <w:pPr>
              <w:spacing w:line="360" w:lineRule="auto"/>
              <w:jc w:val="center"/>
              <w:rPr>
                <w:rFonts w:ascii="Times New Roman" w:hAnsi="Times New Roman" w:eastAsia="宋体" w:cs="Times New Roman"/>
                <w:sz w:val="24"/>
                <w:szCs w:val="24"/>
              </w:rPr>
            </w:pPr>
          </w:p>
        </w:tc>
        <w:tc>
          <w:tcPr>
            <w:tcW w:w="1365" w:type="dxa"/>
            <w:vAlign w:val="center"/>
          </w:tcPr>
          <w:p w14:paraId="46A67CEC">
            <w:pPr>
              <w:spacing w:line="360" w:lineRule="auto"/>
              <w:jc w:val="center"/>
              <w:rPr>
                <w:rFonts w:ascii="Times New Roman" w:hAnsi="Times New Roman" w:eastAsia="宋体" w:cs="Times New Roman"/>
                <w:sz w:val="24"/>
                <w:szCs w:val="24"/>
              </w:rPr>
            </w:pPr>
          </w:p>
        </w:tc>
        <w:tc>
          <w:tcPr>
            <w:tcW w:w="1357" w:type="dxa"/>
            <w:vAlign w:val="center"/>
          </w:tcPr>
          <w:p w14:paraId="7C1356E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FE6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67BDA15">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业主联系人及电话</w:t>
            </w:r>
          </w:p>
        </w:tc>
        <w:tc>
          <w:tcPr>
            <w:tcW w:w="1365" w:type="dxa"/>
            <w:vAlign w:val="center"/>
          </w:tcPr>
          <w:p w14:paraId="386A39C9">
            <w:pPr>
              <w:spacing w:line="360" w:lineRule="auto"/>
              <w:jc w:val="center"/>
              <w:rPr>
                <w:rFonts w:ascii="Times New Roman" w:hAnsi="Times New Roman" w:eastAsia="宋体" w:cs="Times New Roman"/>
                <w:sz w:val="24"/>
                <w:szCs w:val="24"/>
              </w:rPr>
            </w:pPr>
          </w:p>
        </w:tc>
        <w:tc>
          <w:tcPr>
            <w:tcW w:w="1365" w:type="dxa"/>
            <w:vAlign w:val="center"/>
          </w:tcPr>
          <w:p w14:paraId="5E37ABE9">
            <w:pPr>
              <w:spacing w:line="360" w:lineRule="auto"/>
              <w:jc w:val="center"/>
              <w:rPr>
                <w:rFonts w:ascii="Times New Roman" w:hAnsi="Times New Roman" w:eastAsia="宋体" w:cs="Times New Roman"/>
                <w:sz w:val="24"/>
                <w:szCs w:val="24"/>
              </w:rPr>
            </w:pPr>
          </w:p>
        </w:tc>
        <w:tc>
          <w:tcPr>
            <w:tcW w:w="1365" w:type="dxa"/>
            <w:vAlign w:val="center"/>
          </w:tcPr>
          <w:p w14:paraId="18CAE5F5">
            <w:pPr>
              <w:spacing w:line="360" w:lineRule="auto"/>
              <w:jc w:val="center"/>
              <w:rPr>
                <w:rFonts w:ascii="Times New Roman" w:hAnsi="Times New Roman" w:eastAsia="宋体" w:cs="Times New Roman"/>
                <w:sz w:val="24"/>
                <w:szCs w:val="24"/>
              </w:rPr>
            </w:pPr>
          </w:p>
        </w:tc>
        <w:tc>
          <w:tcPr>
            <w:tcW w:w="1365" w:type="dxa"/>
            <w:vAlign w:val="center"/>
          </w:tcPr>
          <w:p w14:paraId="3AE4B974">
            <w:pPr>
              <w:spacing w:line="360" w:lineRule="auto"/>
              <w:jc w:val="center"/>
              <w:rPr>
                <w:rFonts w:ascii="Times New Roman" w:hAnsi="Times New Roman" w:eastAsia="宋体" w:cs="Times New Roman"/>
                <w:sz w:val="24"/>
                <w:szCs w:val="24"/>
              </w:rPr>
            </w:pPr>
          </w:p>
        </w:tc>
        <w:tc>
          <w:tcPr>
            <w:tcW w:w="1357" w:type="dxa"/>
            <w:vAlign w:val="center"/>
          </w:tcPr>
          <w:p w14:paraId="73AB5B9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C1C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BAAE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备注</w:t>
            </w:r>
          </w:p>
        </w:tc>
        <w:tc>
          <w:tcPr>
            <w:tcW w:w="1365" w:type="dxa"/>
            <w:vAlign w:val="center"/>
          </w:tcPr>
          <w:p w14:paraId="3FB91E96">
            <w:pPr>
              <w:spacing w:line="360" w:lineRule="auto"/>
              <w:jc w:val="center"/>
              <w:rPr>
                <w:rFonts w:ascii="Times New Roman" w:hAnsi="Times New Roman" w:eastAsia="宋体" w:cs="Times New Roman"/>
                <w:sz w:val="24"/>
                <w:szCs w:val="24"/>
              </w:rPr>
            </w:pPr>
          </w:p>
        </w:tc>
        <w:tc>
          <w:tcPr>
            <w:tcW w:w="1365" w:type="dxa"/>
            <w:vAlign w:val="center"/>
          </w:tcPr>
          <w:p w14:paraId="3BD72E58">
            <w:pPr>
              <w:spacing w:line="360" w:lineRule="auto"/>
              <w:jc w:val="center"/>
              <w:rPr>
                <w:rFonts w:ascii="Times New Roman" w:hAnsi="Times New Roman" w:eastAsia="宋体" w:cs="Times New Roman"/>
                <w:sz w:val="24"/>
                <w:szCs w:val="24"/>
              </w:rPr>
            </w:pPr>
          </w:p>
        </w:tc>
        <w:tc>
          <w:tcPr>
            <w:tcW w:w="1365" w:type="dxa"/>
            <w:vAlign w:val="center"/>
          </w:tcPr>
          <w:p w14:paraId="4919B53E">
            <w:pPr>
              <w:spacing w:line="360" w:lineRule="auto"/>
              <w:jc w:val="center"/>
              <w:rPr>
                <w:rFonts w:ascii="Times New Roman" w:hAnsi="Times New Roman" w:eastAsia="宋体" w:cs="Times New Roman"/>
                <w:sz w:val="24"/>
                <w:szCs w:val="24"/>
              </w:rPr>
            </w:pPr>
          </w:p>
        </w:tc>
        <w:tc>
          <w:tcPr>
            <w:tcW w:w="1365" w:type="dxa"/>
            <w:vAlign w:val="center"/>
          </w:tcPr>
          <w:p w14:paraId="7A4AEC1A">
            <w:pPr>
              <w:spacing w:line="360" w:lineRule="auto"/>
              <w:jc w:val="center"/>
              <w:rPr>
                <w:rFonts w:ascii="Times New Roman" w:hAnsi="Times New Roman" w:eastAsia="宋体" w:cs="Times New Roman"/>
                <w:sz w:val="24"/>
                <w:szCs w:val="24"/>
              </w:rPr>
            </w:pPr>
          </w:p>
        </w:tc>
        <w:tc>
          <w:tcPr>
            <w:tcW w:w="1357" w:type="dxa"/>
            <w:vAlign w:val="center"/>
          </w:tcPr>
          <w:p w14:paraId="2750A6D2">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bl>
    <w:p w14:paraId="4D4F90AA">
      <w:pPr>
        <w:autoSpaceDE w:val="0"/>
        <w:autoSpaceDN w:val="0"/>
        <w:adjustRightInd w:val="0"/>
        <w:snapToGrid w:val="0"/>
        <w:spacing w:line="360" w:lineRule="auto"/>
        <w:rPr>
          <w:rFonts w:hint="eastAsia" w:ascii="宋体" w:hAnsi="宋体" w:eastAsia="宋体" w:cs="Times New Roman"/>
          <w:b/>
          <w:szCs w:val="24"/>
        </w:rPr>
      </w:pPr>
    </w:p>
    <w:p w14:paraId="006DB1D6">
      <w:pPr>
        <w:autoSpaceDE w:val="0"/>
        <w:autoSpaceDN w:val="0"/>
        <w:adjustRightInd w:val="0"/>
        <w:snapToGrid w:val="0"/>
        <w:spacing w:line="360" w:lineRule="auto"/>
        <w:ind w:left="3238" w:leftChars="1542"/>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0B4C1DAF">
      <w:pPr>
        <w:autoSpaceDE w:val="0"/>
        <w:autoSpaceDN w:val="0"/>
        <w:adjustRightInd w:val="0"/>
        <w:snapToGrid w:val="0"/>
        <w:spacing w:after="100" w:afterAutospacing="1" w:line="360" w:lineRule="auto"/>
        <w:ind w:left="3238" w:leftChars="1542"/>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21B8C3C">
      <w:pPr>
        <w:ind w:left="826" w:hanging="826" w:hangingChars="392"/>
        <w:rPr>
          <w:rFonts w:hint="eastAsia" w:ascii="宋体" w:hAnsi="宋体" w:eastAsia="宋体" w:cs="Times New Roman"/>
          <w:b/>
          <w:szCs w:val="21"/>
        </w:rPr>
      </w:pPr>
      <w:r>
        <w:rPr>
          <w:rFonts w:hint="eastAsia" w:ascii="宋体" w:hAnsi="宋体" w:eastAsia="宋体" w:cs="Times New Roman"/>
          <w:b/>
          <w:szCs w:val="21"/>
        </w:rPr>
        <w:t>注：1、投</w:t>
      </w:r>
      <w:r>
        <w:rPr>
          <w:rFonts w:hint="eastAsia" w:ascii="宋体" w:hAnsi="宋体" w:eastAsia="宋体" w:cs="宋体"/>
          <w:b/>
          <w:szCs w:val="21"/>
        </w:rPr>
        <w:t>标</w:t>
      </w:r>
      <w:r>
        <w:rPr>
          <w:rFonts w:hint="eastAsia" w:ascii="宋体" w:hAnsi="宋体" w:eastAsia="宋体" w:cs="Times New Roman"/>
          <w:b/>
          <w:szCs w:val="21"/>
        </w:rPr>
        <w:t>人</w:t>
      </w:r>
      <w:r>
        <w:rPr>
          <w:rFonts w:hint="eastAsia" w:ascii="宋体" w:hAnsi="宋体" w:eastAsia="宋体" w:cs="宋体"/>
          <w:b/>
          <w:szCs w:val="21"/>
        </w:rPr>
        <w:t>应</w:t>
      </w:r>
      <w:r>
        <w:rPr>
          <w:rFonts w:hint="eastAsia" w:ascii="宋体" w:hAnsi="宋体" w:eastAsia="宋体" w:cs="Times New Roman"/>
          <w:b/>
          <w:szCs w:val="21"/>
        </w:rPr>
        <w:t>随此表附上相</w:t>
      </w:r>
      <w:r>
        <w:rPr>
          <w:rFonts w:hint="eastAsia" w:ascii="宋体" w:hAnsi="宋体" w:eastAsia="宋体" w:cs="宋体"/>
          <w:b/>
          <w:szCs w:val="21"/>
        </w:rPr>
        <w:t>关</w:t>
      </w:r>
      <w:r>
        <w:rPr>
          <w:rFonts w:hint="eastAsia" w:ascii="宋体" w:hAnsi="宋体" w:eastAsia="宋体" w:cs="Times New Roman"/>
          <w:b/>
          <w:szCs w:val="21"/>
        </w:rPr>
        <w:t>的</w:t>
      </w:r>
      <w:r>
        <w:rPr>
          <w:rFonts w:hint="eastAsia" w:ascii="宋体" w:hAnsi="宋体" w:eastAsia="宋体" w:cs="宋体"/>
          <w:b/>
          <w:szCs w:val="21"/>
        </w:rPr>
        <w:t>业绩证</w:t>
      </w:r>
      <w:r>
        <w:rPr>
          <w:rFonts w:hint="eastAsia" w:ascii="宋体" w:hAnsi="宋体" w:eastAsia="宋体" w:cs="Times New Roman"/>
          <w:b/>
          <w:szCs w:val="21"/>
        </w:rPr>
        <w:t>明（提供合同、经行政主管部门备案的中</w:t>
      </w:r>
      <w:r>
        <w:rPr>
          <w:rFonts w:hint="eastAsia" w:ascii="宋体" w:hAnsi="宋体" w:eastAsia="宋体" w:cs="宋体"/>
          <w:b/>
          <w:szCs w:val="21"/>
        </w:rPr>
        <w:t>标</w:t>
      </w:r>
      <w:r>
        <w:rPr>
          <w:rFonts w:hint="eastAsia" w:ascii="宋体" w:hAnsi="宋体" w:eastAsia="宋体" w:cs="Times New Roman"/>
          <w:b/>
          <w:szCs w:val="21"/>
        </w:rPr>
        <w:t>通知</w:t>
      </w:r>
      <w:r>
        <w:rPr>
          <w:rFonts w:hint="eastAsia" w:ascii="宋体" w:hAnsi="宋体" w:eastAsia="宋体" w:cs="宋体"/>
          <w:b/>
          <w:szCs w:val="21"/>
        </w:rPr>
        <w:t>书（如有）</w:t>
      </w:r>
      <w:r>
        <w:rPr>
          <w:rFonts w:hint="eastAsia" w:ascii="宋体" w:hAnsi="宋体" w:eastAsia="宋体" w:cs="Times New Roman"/>
          <w:b/>
          <w:szCs w:val="21"/>
        </w:rPr>
        <w:t>、</w:t>
      </w:r>
      <w:r>
        <w:rPr>
          <w:rFonts w:hint="eastAsia" w:ascii="宋体" w:hAnsi="宋体" w:eastAsia="宋体" w:cs="宋体"/>
          <w:b/>
          <w:szCs w:val="21"/>
        </w:rPr>
        <w:t>获奖证书（如有）</w:t>
      </w:r>
      <w:r>
        <w:rPr>
          <w:rFonts w:hint="eastAsia" w:ascii="宋体" w:hAnsi="宋体" w:eastAsia="宋体" w:cs="Times New Roman"/>
          <w:b/>
          <w:szCs w:val="21"/>
        </w:rPr>
        <w:t>、</w:t>
      </w:r>
      <w:r>
        <w:rPr>
          <w:rFonts w:hint="eastAsia" w:ascii="宋体" w:hAnsi="宋体" w:eastAsia="宋体" w:cs="宋体"/>
          <w:b/>
          <w:szCs w:val="21"/>
        </w:rPr>
        <w:t>顾</w:t>
      </w:r>
      <w:r>
        <w:rPr>
          <w:rFonts w:hint="eastAsia" w:ascii="宋体" w:hAnsi="宋体" w:eastAsia="宋体" w:cs="Times New Roman"/>
          <w:b/>
          <w:szCs w:val="21"/>
        </w:rPr>
        <w:t>客意</w:t>
      </w:r>
      <w:r>
        <w:rPr>
          <w:rFonts w:hint="eastAsia" w:ascii="宋体" w:hAnsi="宋体" w:eastAsia="宋体" w:cs="宋体"/>
          <w:b/>
          <w:szCs w:val="21"/>
        </w:rPr>
        <w:t>见</w:t>
      </w:r>
      <w:r>
        <w:rPr>
          <w:rFonts w:hint="eastAsia" w:ascii="宋体" w:hAnsi="宋体" w:eastAsia="宋体" w:cs="Times New Roman"/>
          <w:b/>
          <w:szCs w:val="21"/>
        </w:rPr>
        <w:t>反</w:t>
      </w:r>
      <w:r>
        <w:rPr>
          <w:rFonts w:hint="eastAsia" w:ascii="宋体" w:hAnsi="宋体" w:eastAsia="宋体" w:cs="宋体"/>
          <w:b/>
          <w:szCs w:val="21"/>
        </w:rPr>
        <w:t>馈</w:t>
      </w:r>
      <w:r>
        <w:rPr>
          <w:rFonts w:hint="eastAsia" w:ascii="宋体" w:hAnsi="宋体" w:eastAsia="宋体" w:cs="Times New Roman"/>
          <w:b/>
          <w:szCs w:val="21"/>
        </w:rPr>
        <w:t>表（如有）等资料的</w:t>
      </w:r>
      <w:r>
        <w:rPr>
          <w:rFonts w:hint="eastAsia" w:ascii="宋体" w:hAnsi="宋体" w:eastAsia="宋体" w:cs="宋体"/>
          <w:b/>
          <w:szCs w:val="21"/>
        </w:rPr>
        <w:t>复</w:t>
      </w:r>
      <w:r>
        <w:rPr>
          <w:rFonts w:hint="eastAsia" w:ascii="宋体" w:hAnsi="宋体" w:eastAsia="宋体" w:cs="Times New Roman"/>
          <w:b/>
          <w:szCs w:val="21"/>
        </w:rPr>
        <w:t>印件）。</w:t>
      </w:r>
    </w:p>
    <w:p w14:paraId="75DF879D">
      <w:pPr>
        <w:rPr>
          <w:rFonts w:hint="eastAsia" w:ascii="宋体" w:hAnsi="宋体" w:eastAsia="宋体" w:cs="Times New Roman"/>
          <w:szCs w:val="21"/>
        </w:rPr>
      </w:pPr>
      <w:r>
        <w:rPr>
          <w:rFonts w:hint="eastAsia" w:ascii="宋体" w:hAnsi="宋体" w:eastAsia="宋体" w:cs="Times New Roman"/>
          <w:b/>
          <w:szCs w:val="21"/>
        </w:rPr>
        <w:t xml:space="preserve">    2、如有多个已完成</w:t>
      </w:r>
      <w:r>
        <w:rPr>
          <w:rFonts w:hint="eastAsia" w:ascii="宋体" w:hAnsi="宋体" w:eastAsia="宋体" w:cs="宋体"/>
          <w:b/>
          <w:szCs w:val="21"/>
        </w:rPr>
        <w:t>项</w:t>
      </w:r>
      <w:r>
        <w:rPr>
          <w:rFonts w:hint="eastAsia" w:ascii="宋体" w:hAnsi="宋体" w:eastAsia="宋体" w:cs="Times New Roman"/>
          <w:b/>
          <w:szCs w:val="21"/>
        </w:rPr>
        <w:t>目，</w:t>
      </w:r>
      <w:r>
        <w:rPr>
          <w:rFonts w:hint="eastAsia" w:ascii="宋体" w:hAnsi="宋体" w:eastAsia="宋体" w:cs="宋体"/>
          <w:b/>
          <w:szCs w:val="21"/>
        </w:rPr>
        <w:t>每</w:t>
      </w:r>
      <w:r>
        <w:rPr>
          <w:rFonts w:hint="eastAsia" w:ascii="宋体" w:hAnsi="宋体" w:eastAsia="宋体" w:cs="Times New Roman"/>
          <w:b/>
          <w:szCs w:val="21"/>
        </w:rPr>
        <w:t>个</w:t>
      </w:r>
      <w:r>
        <w:rPr>
          <w:rFonts w:hint="eastAsia" w:ascii="宋体" w:hAnsi="宋体" w:eastAsia="宋体" w:cs="宋体"/>
          <w:b/>
          <w:szCs w:val="21"/>
        </w:rPr>
        <w:t>项</w:t>
      </w:r>
      <w:r>
        <w:rPr>
          <w:rFonts w:hint="eastAsia" w:ascii="宋体" w:hAnsi="宋体" w:eastAsia="宋体" w:cs="Times New Roman"/>
          <w:b/>
          <w:szCs w:val="21"/>
        </w:rPr>
        <w:t>目填一</w:t>
      </w:r>
      <w:r>
        <w:rPr>
          <w:rFonts w:hint="eastAsia" w:ascii="宋体" w:hAnsi="宋体" w:eastAsia="宋体" w:cs="宋体"/>
          <w:b/>
          <w:szCs w:val="21"/>
        </w:rPr>
        <w:t>张</w:t>
      </w:r>
      <w:r>
        <w:rPr>
          <w:rFonts w:hint="eastAsia" w:ascii="宋体" w:hAnsi="宋体" w:eastAsia="宋体" w:cs="Times New Roman"/>
          <w:b/>
          <w:szCs w:val="21"/>
        </w:rPr>
        <w:t>此表，附后。</w:t>
      </w:r>
      <w:r>
        <w:rPr>
          <w:rFonts w:hint="eastAsia" w:ascii="宋体" w:hAnsi="宋体" w:eastAsia="宋体" w:cs="Times New Roman"/>
          <w:szCs w:val="21"/>
        </w:rPr>
        <w:t xml:space="preserve">  </w:t>
      </w:r>
    </w:p>
    <w:p w14:paraId="1B6281DF">
      <w:pPr>
        <w:spacing w:line="360" w:lineRule="auto"/>
        <w:rPr>
          <w:rFonts w:ascii="Times New Roman" w:hAnsi="Times New Roman" w:eastAsia="宋体" w:cs="Times New Roman"/>
          <w:b/>
          <w:sz w:val="28"/>
          <w:szCs w:val="28"/>
        </w:rPr>
      </w:pPr>
    </w:p>
    <w:p w14:paraId="2D1D0322">
      <w:pPr>
        <w:spacing w:line="360" w:lineRule="auto"/>
        <w:rPr>
          <w:rFonts w:ascii="Times New Roman" w:hAnsi="Times New Roman" w:eastAsia="宋体" w:cs="Times New Roman"/>
          <w:b/>
          <w:sz w:val="28"/>
          <w:szCs w:val="28"/>
        </w:rPr>
      </w:pPr>
    </w:p>
    <w:p w14:paraId="4D0DEEE4">
      <w:pPr>
        <w:spacing w:line="360" w:lineRule="auto"/>
        <w:rPr>
          <w:rFonts w:ascii="Times New Roman" w:hAnsi="Times New Roman" w:eastAsia="宋体" w:cs="Times New Roman"/>
          <w:b/>
          <w:sz w:val="28"/>
          <w:szCs w:val="28"/>
        </w:rPr>
      </w:pPr>
    </w:p>
    <w:p w14:paraId="2A927BDE">
      <w:pPr>
        <w:spacing w:line="360" w:lineRule="auto"/>
        <w:rPr>
          <w:rFonts w:ascii="Times New Roman" w:hAnsi="Times New Roman" w:eastAsia="宋体" w:cs="Times New Roman"/>
          <w:b/>
          <w:sz w:val="28"/>
          <w:szCs w:val="28"/>
        </w:rPr>
      </w:pPr>
    </w:p>
    <w:p w14:paraId="50A6C1B9">
      <w:pPr>
        <w:spacing w:line="360" w:lineRule="auto"/>
        <w:rPr>
          <w:rFonts w:ascii="Times New Roman" w:hAnsi="Times New Roman" w:eastAsia="宋体" w:cs="Times New Roman"/>
          <w:b/>
          <w:sz w:val="28"/>
          <w:szCs w:val="28"/>
        </w:rPr>
      </w:pPr>
    </w:p>
    <w:p w14:paraId="2862BA63">
      <w:pPr>
        <w:spacing w:line="360" w:lineRule="auto"/>
        <w:rPr>
          <w:rFonts w:ascii="Times New Roman" w:hAnsi="Times New Roman" w:eastAsia="宋体" w:cs="Times New Roman"/>
          <w:b/>
          <w:sz w:val="28"/>
          <w:szCs w:val="28"/>
        </w:rPr>
      </w:pPr>
    </w:p>
    <w:p w14:paraId="6E953C2F">
      <w:pPr>
        <w:spacing w:line="360" w:lineRule="auto"/>
        <w:rPr>
          <w:rFonts w:ascii="Times New Roman" w:hAnsi="Times New Roman" w:eastAsia="宋体" w:cs="Times New Roman"/>
          <w:b/>
          <w:sz w:val="28"/>
          <w:szCs w:val="28"/>
        </w:rPr>
      </w:pPr>
    </w:p>
    <w:p w14:paraId="6E32B734">
      <w:pPr>
        <w:spacing w:line="360" w:lineRule="auto"/>
        <w:rPr>
          <w:rFonts w:ascii="Times New Roman" w:hAnsi="Times New Roman" w:eastAsia="宋体" w:cs="Times New Roman"/>
          <w:b/>
          <w:sz w:val="28"/>
          <w:szCs w:val="28"/>
        </w:rPr>
      </w:pPr>
    </w:p>
    <w:p w14:paraId="2AAB47E5">
      <w:pPr>
        <w:spacing w:line="360" w:lineRule="auto"/>
        <w:rPr>
          <w:rFonts w:ascii="Times New Roman" w:hAnsi="Times New Roman" w:eastAsia="宋体" w:cs="Times New Roman"/>
          <w:b/>
          <w:sz w:val="28"/>
          <w:szCs w:val="28"/>
        </w:rPr>
      </w:pPr>
    </w:p>
    <w:p w14:paraId="07F1D55E">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附件六</w:t>
      </w:r>
      <w:r>
        <w:rPr>
          <w:rFonts w:ascii="宋体" w:hAnsi="宋体" w:eastAsia="宋体" w:cs="宋体"/>
          <w:b/>
          <w:bCs/>
          <w:kern w:val="0"/>
          <w:sz w:val="30"/>
          <w:szCs w:val="30"/>
          <w:lang w:val="zh-CN" w:bidi="zh-CN"/>
        </w:rPr>
        <w:t>、《商务条款偏离表》</w:t>
      </w:r>
    </w:p>
    <w:p w14:paraId="63931AF6">
      <w:pPr>
        <w:autoSpaceDE w:val="0"/>
        <w:autoSpaceDN w:val="0"/>
        <w:jc w:val="left"/>
        <w:rPr>
          <w:rFonts w:hint="eastAsia" w:ascii="宋体" w:hAnsi="宋体" w:eastAsia="宋体" w:cs="宋体"/>
          <w:kern w:val="0"/>
          <w:sz w:val="24"/>
          <w:szCs w:val="24"/>
          <w:lang w:val="zh-CN" w:bidi="zh-CN"/>
        </w:rPr>
      </w:pPr>
    </w:p>
    <w:p w14:paraId="1D7E48D4">
      <w:pPr>
        <w:autoSpaceDE w:val="0"/>
        <w:autoSpaceDN w:val="0"/>
        <w:spacing w:before="3"/>
        <w:jc w:val="left"/>
        <w:rPr>
          <w:rFonts w:hint="eastAsia" w:ascii="宋体" w:hAnsi="宋体" w:eastAsia="宋体" w:cs="宋体"/>
          <w:kern w:val="0"/>
          <w:sz w:val="25"/>
          <w:szCs w:val="24"/>
          <w:lang w:val="zh-CN" w:bidi="zh-CN"/>
        </w:rPr>
      </w:pPr>
    </w:p>
    <w:p w14:paraId="10BCB15A">
      <w:pPr>
        <w:autoSpaceDE w:val="0"/>
        <w:autoSpaceDN w:val="0"/>
        <w:ind w:right="-58"/>
        <w:jc w:val="center"/>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商务条款偏离表格式</w:t>
      </w:r>
    </w:p>
    <w:p w14:paraId="31EC9659">
      <w:pPr>
        <w:tabs>
          <w:tab w:val="left" w:pos="6480"/>
        </w:tabs>
        <w:autoSpaceDE w:val="0"/>
        <w:autoSpaceDN w:val="0"/>
        <w:spacing w:before="16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tbl>
      <w:tblPr>
        <w:tblStyle w:val="58"/>
        <w:tblpPr w:leftFromText="180" w:rightFromText="180" w:vertAnchor="text" w:horzAnchor="page" w:tblpX="1345" w:tblpY="246"/>
        <w:tblW w:w="93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25"/>
        <w:gridCol w:w="1489"/>
        <w:gridCol w:w="3184"/>
        <w:gridCol w:w="2096"/>
        <w:gridCol w:w="1944"/>
      </w:tblGrid>
      <w:tr w14:paraId="54B735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625" w:type="dxa"/>
            <w:vAlign w:val="center"/>
          </w:tcPr>
          <w:p w14:paraId="5C50A734">
            <w:pPr>
              <w:autoSpaceDE w:val="0"/>
              <w:autoSpaceDN w:val="0"/>
              <w:spacing w:line="286" w:lineRule="exact"/>
              <w:ind w:right="-58"/>
              <w:jc w:val="center"/>
              <w:rPr>
                <w:rFonts w:hint="eastAsia" w:ascii="宋体" w:hAnsi="宋体" w:eastAsia="宋体" w:cs="宋体"/>
                <w:kern w:val="0"/>
                <w:sz w:val="24"/>
                <w:lang w:val="zh-CN" w:bidi="zh-CN"/>
              </w:rPr>
            </w:pPr>
            <w:r>
              <w:rPr>
                <w:rFonts w:ascii="宋体" w:hAnsi="宋体" w:eastAsia="宋体" w:cs="宋体"/>
                <w:kern w:val="0"/>
                <w:sz w:val="24"/>
                <w:lang w:val="zh-CN" w:bidi="zh-CN"/>
              </w:rPr>
              <w:t>序号</w:t>
            </w:r>
          </w:p>
        </w:tc>
        <w:tc>
          <w:tcPr>
            <w:tcW w:w="1489" w:type="dxa"/>
            <w:vAlign w:val="center"/>
          </w:tcPr>
          <w:p w14:paraId="1D2B4BB0">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条目号</w:t>
            </w:r>
          </w:p>
        </w:tc>
        <w:tc>
          <w:tcPr>
            <w:tcW w:w="3184" w:type="dxa"/>
            <w:vAlign w:val="center"/>
          </w:tcPr>
          <w:p w14:paraId="21035197">
            <w:pPr>
              <w:autoSpaceDE w:val="0"/>
              <w:autoSpaceDN w:val="0"/>
              <w:spacing w:line="286" w:lineRule="exact"/>
              <w:ind w:left="1"/>
              <w:jc w:val="center"/>
              <w:rPr>
                <w:rFonts w:hint="eastAsia" w:ascii="宋体" w:hAnsi="宋体" w:eastAsia="宋体" w:cs="宋体"/>
                <w:kern w:val="0"/>
                <w:sz w:val="24"/>
                <w:lang w:val="zh-CN" w:bidi="zh-CN"/>
              </w:rPr>
            </w:pPr>
            <w:r>
              <w:rPr>
                <w:rFonts w:ascii="宋体" w:hAnsi="宋体" w:eastAsia="宋体" w:cs="宋体"/>
                <w:kern w:val="0"/>
                <w:sz w:val="24"/>
                <w:lang w:val="zh-CN" w:bidi="zh-CN"/>
              </w:rPr>
              <w:t>招标文件要求的商务条款</w:t>
            </w:r>
          </w:p>
        </w:tc>
        <w:tc>
          <w:tcPr>
            <w:tcW w:w="2096" w:type="dxa"/>
            <w:vAlign w:val="center"/>
          </w:tcPr>
          <w:p w14:paraId="175DDF9B">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投标响应</w:t>
            </w:r>
          </w:p>
        </w:tc>
        <w:tc>
          <w:tcPr>
            <w:tcW w:w="1944" w:type="dxa"/>
            <w:vAlign w:val="center"/>
          </w:tcPr>
          <w:p w14:paraId="0757F74F">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偏离</w:t>
            </w:r>
          </w:p>
        </w:tc>
      </w:tr>
      <w:tr w14:paraId="2F48B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389FC2E">
            <w:pPr>
              <w:autoSpaceDE w:val="0"/>
              <w:autoSpaceDN w:val="0"/>
              <w:jc w:val="left"/>
              <w:rPr>
                <w:rFonts w:hint="eastAsia" w:ascii="Times New Roman" w:hAnsi="宋体" w:eastAsia="宋体" w:cs="宋体"/>
                <w:kern w:val="0"/>
                <w:sz w:val="22"/>
                <w:lang w:val="zh-CN" w:bidi="zh-CN"/>
              </w:rPr>
            </w:pPr>
          </w:p>
        </w:tc>
        <w:tc>
          <w:tcPr>
            <w:tcW w:w="1489" w:type="dxa"/>
          </w:tcPr>
          <w:p w14:paraId="2F9C392B">
            <w:pPr>
              <w:autoSpaceDE w:val="0"/>
              <w:autoSpaceDN w:val="0"/>
              <w:jc w:val="left"/>
              <w:rPr>
                <w:rFonts w:hint="eastAsia" w:ascii="Times New Roman" w:hAnsi="宋体" w:eastAsia="宋体" w:cs="宋体"/>
                <w:kern w:val="0"/>
                <w:sz w:val="22"/>
                <w:lang w:val="zh-CN" w:bidi="zh-CN"/>
              </w:rPr>
            </w:pPr>
          </w:p>
        </w:tc>
        <w:tc>
          <w:tcPr>
            <w:tcW w:w="3184" w:type="dxa"/>
          </w:tcPr>
          <w:p w14:paraId="1749F2E7">
            <w:pPr>
              <w:autoSpaceDE w:val="0"/>
              <w:autoSpaceDN w:val="0"/>
              <w:jc w:val="left"/>
              <w:rPr>
                <w:rFonts w:hint="eastAsia" w:ascii="Times New Roman" w:hAnsi="宋体" w:eastAsia="宋体" w:cs="宋体"/>
                <w:kern w:val="0"/>
                <w:sz w:val="22"/>
                <w:lang w:val="zh-CN" w:bidi="zh-CN"/>
              </w:rPr>
            </w:pPr>
          </w:p>
        </w:tc>
        <w:tc>
          <w:tcPr>
            <w:tcW w:w="2096" w:type="dxa"/>
          </w:tcPr>
          <w:p w14:paraId="0AF837F3">
            <w:pPr>
              <w:autoSpaceDE w:val="0"/>
              <w:autoSpaceDN w:val="0"/>
              <w:jc w:val="left"/>
              <w:rPr>
                <w:rFonts w:hint="eastAsia" w:ascii="Times New Roman" w:hAnsi="宋体" w:eastAsia="宋体" w:cs="宋体"/>
                <w:kern w:val="0"/>
                <w:sz w:val="22"/>
                <w:lang w:val="zh-CN" w:bidi="zh-CN"/>
              </w:rPr>
            </w:pPr>
          </w:p>
        </w:tc>
        <w:tc>
          <w:tcPr>
            <w:tcW w:w="1944" w:type="dxa"/>
          </w:tcPr>
          <w:p w14:paraId="6F87294F">
            <w:pPr>
              <w:autoSpaceDE w:val="0"/>
              <w:autoSpaceDN w:val="0"/>
              <w:jc w:val="left"/>
              <w:rPr>
                <w:rFonts w:hint="eastAsia" w:ascii="Times New Roman" w:hAnsi="宋体" w:eastAsia="宋体" w:cs="宋体"/>
                <w:kern w:val="0"/>
                <w:sz w:val="22"/>
                <w:lang w:val="zh-CN" w:bidi="zh-CN"/>
              </w:rPr>
            </w:pPr>
          </w:p>
        </w:tc>
      </w:tr>
      <w:tr w14:paraId="0F174F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3F5E353">
            <w:pPr>
              <w:autoSpaceDE w:val="0"/>
              <w:autoSpaceDN w:val="0"/>
              <w:jc w:val="left"/>
              <w:rPr>
                <w:rFonts w:hint="eastAsia" w:ascii="Times New Roman" w:hAnsi="宋体" w:eastAsia="宋体" w:cs="宋体"/>
                <w:kern w:val="0"/>
                <w:sz w:val="22"/>
                <w:lang w:val="zh-CN" w:bidi="zh-CN"/>
              </w:rPr>
            </w:pPr>
          </w:p>
        </w:tc>
        <w:tc>
          <w:tcPr>
            <w:tcW w:w="1489" w:type="dxa"/>
          </w:tcPr>
          <w:p w14:paraId="5B1E9C0D">
            <w:pPr>
              <w:autoSpaceDE w:val="0"/>
              <w:autoSpaceDN w:val="0"/>
              <w:jc w:val="left"/>
              <w:rPr>
                <w:rFonts w:hint="eastAsia" w:ascii="Times New Roman" w:hAnsi="宋体" w:eastAsia="宋体" w:cs="宋体"/>
                <w:kern w:val="0"/>
                <w:sz w:val="22"/>
                <w:lang w:val="zh-CN" w:bidi="zh-CN"/>
              </w:rPr>
            </w:pPr>
          </w:p>
        </w:tc>
        <w:tc>
          <w:tcPr>
            <w:tcW w:w="3184" w:type="dxa"/>
          </w:tcPr>
          <w:p w14:paraId="405581B4">
            <w:pPr>
              <w:autoSpaceDE w:val="0"/>
              <w:autoSpaceDN w:val="0"/>
              <w:jc w:val="left"/>
              <w:rPr>
                <w:rFonts w:hint="eastAsia" w:ascii="Times New Roman" w:hAnsi="宋体" w:eastAsia="宋体" w:cs="宋体"/>
                <w:kern w:val="0"/>
                <w:sz w:val="22"/>
                <w:lang w:val="zh-CN" w:bidi="zh-CN"/>
              </w:rPr>
            </w:pPr>
          </w:p>
        </w:tc>
        <w:tc>
          <w:tcPr>
            <w:tcW w:w="2096" w:type="dxa"/>
          </w:tcPr>
          <w:p w14:paraId="2B5DAE35">
            <w:pPr>
              <w:autoSpaceDE w:val="0"/>
              <w:autoSpaceDN w:val="0"/>
              <w:jc w:val="left"/>
              <w:rPr>
                <w:rFonts w:hint="eastAsia" w:ascii="Times New Roman" w:hAnsi="宋体" w:eastAsia="宋体" w:cs="宋体"/>
                <w:kern w:val="0"/>
                <w:sz w:val="22"/>
                <w:lang w:val="zh-CN" w:bidi="zh-CN"/>
              </w:rPr>
            </w:pPr>
          </w:p>
        </w:tc>
        <w:tc>
          <w:tcPr>
            <w:tcW w:w="1944" w:type="dxa"/>
          </w:tcPr>
          <w:p w14:paraId="43F0FC99">
            <w:pPr>
              <w:autoSpaceDE w:val="0"/>
              <w:autoSpaceDN w:val="0"/>
              <w:jc w:val="left"/>
              <w:rPr>
                <w:rFonts w:hint="eastAsia" w:ascii="Times New Roman" w:hAnsi="宋体" w:eastAsia="宋体" w:cs="宋体"/>
                <w:kern w:val="0"/>
                <w:sz w:val="22"/>
                <w:lang w:val="zh-CN" w:bidi="zh-CN"/>
              </w:rPr>
            </w:pPr>
          </w:p>
        </w:tc>
      </w:tr>
      <w:tr w14:paraId="1864E4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444F48">
            <w:pPr>
              <w:autoSpaceDE w:val="0"/>
              <w:autoSpaceDN w:val="0"/>
              <w:jc w:val="left"/>
              <w:rPr>
                <w:rFonts w:hint="eastAsia" w:ascii="Times New Roman" w:hAnsi="宋体" w:eastAsia="宋体" w:cs="宋体"/>
                <w:kern w:val="0"/>
                <w:sz w:val="22"/>
                <w:lang w:val="zh-CN" w:bidi="zh-CN"/>
              </w:rPr>
            </w:pPr>
          </w:p>
        </w:tc>
        <w:tc>
          <w:tcPr>
            <w:tcW w:w="1489" w:type="dxa"/>
          </w:tcPr>
          <w:p w14:paraId="33A234E7">
            <w:pPr>
              <w:autoSpaceDE w:val="0"/>
              <w:autoSpaceDN w:val="0"/>
              <w:jc w:val="left"/>
              <w:rPr>
                <w:rFonts w:hint="eastAsia" w:ascii="Times New Roman" w:hAnsi="宋体" w:eastAsia="宋体" w:cs="宋体"/>
                <w:kern w:val="0"/>
                <w:sz w:val="22"/>
                <w:lang w:val="zh-CN" w:bidi="zh-CN"/>
              </w:rPr>
            </w:pPr>
          </w:p>
        </w:tc>
        <w:tc>
          <w:tcPr>
            <w:tcW w:w="3184" w:type="dxa"/>
          </w:tcPr>
          <w:p w14:paraId="70D46126">
            <w:pPr>
              <w:autoSpaceDE w:val="0"/>
              <w:autoSpaceDN w:val="0"/>
              <w:jc w:val="left"/>
              <w:rPr>
                <w:rFonts w:hint="eastAsia" w:ascii="Times New Roman" w:hAnsi="宋体" w:eastAsia="宋体" w:cs="宋体"/>
                <w:kern w:val="0"/>
                <w:sz w:val="22"/>
                <w:lang w:val="zh-CN" w:bidi="zh-CN"/>
              </w:rPr>
            </w:pPr>
          </w:p>
        </w:tc>
        <w:tc>
          <w:tcPr>
            <w:tcW w:w="2096" w:type="dxa"/>
          </w:tcPr>
          <w:p w14:paraId="1E9FE9D7">
            <w:pPr>
              <w:autoSpaceDE w:val="0"/>
              <w:autoSpaceDN w:val="0"/>
              <w:jc w:val="left"/>
              <w:rPr>
                <w:rFonts w:hint="eastAsia" w:ascii="Times New Roman" w:hAnsi="宋体" w:eastAsia="宋体" w:cs="宋体"/>
                <w:kern w:val="0"/>
                <w:sz w:val="22"/>
                <w:lang w:val="zh-CN" w:bidi="zh-CN"/>
              </w:rPr>
            </w:pPr>
          </w:p>
        </w:tc>
        <w:tc>
          <w:tcPr>
            <w:tcW w:w="1944" w:type="dxa"/>
          </w:tcPr>
          <w:p w14:paraId="77DA9A78">
            <w:pPr>
              <w:autoSpaceDE w:val="0"/>
              <w:autoSpaceDN w:val="0"/>
              <w:jc w:val="left"/>
              <w:rPr>
                <w:rFonts w:hint="eastAsia" w:ascii="Times New Roman" w:hAnsi="宋体" w:eastAsia="宋体" w:cs="宋体"/>
                <w:kern w:val="0"/>
                <w:sz w:val="22"/>
                <w:lang w:val="zh-CN" w:bidi="zh-CN"/>
              </w:rPr>
            </w:pPr>
          </w:p>
        </w:tc>
      </w:tr>
      <w:tr w14:paraId="14765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9" w:hRule="atLeast"/>
        </w:trPr>
        <w:tc>
          <w:tcPr>
            <w:tcW w:w="625" w:type="dxa"/>
          </w:tcPr>
          <w:p w14:paraId="71A7AC94">
            <w:pPr>
              <w:autoSpaceDE w:val="0"/>
              <w:autoSpaceDN w:val="0"/>
              <w:jc w:val="left"/>
              <w:rPr>
                <w:rFonts w:hint="eastAsia" w:ascii="Times New Roman" w:hAnsi="宋体" w:eastAsia="宋体" w:cs="宋体"/>
                <w:kern w:val="0"/>
                <w:sz w:val="22"/>
                <w:lang w:val="zh-CN" w:bidi="zh-CN"/>
              </w:rPr>
            </w:pPr>
          </w:p>
        </w:tc>
        <w:tc>
          <w:tcPr>
            <w:tcW w:w="1489" w:type="dxa"/>
          </w:tcPr>
          <w:p w14:paraId="48949104">
            <w:pPr>
              <w:autoSpaceDE w:val="0"/>
              <w:autoSpaceDN w:val="0"/>
              <w:jc w:val="left"/>
              <w:rPr>
                <w:rFonts w:hint="eastAsia" w:ascii="Times New Roman" w:hAnsi="宋体" w:eastAsia="宋体" w:cs="宋体"/>
                <w:kern w:val="0"/>
                <w:sz w:val="22"/>
                <w:lang w:val="zh-CN" w:bidi="zh-CN"/>
              </w:rPr>
            </w:pPr>
          </w:p>
        </w:tc>
        <w:tc>
          <w:tcPr>
            <w:tcW w:w="3184" w:type="dxa"/>
          </w:tcPr>
          <w:p w14:paraId="068C2BFC">
            <w:pPr>
              <w:autoSpaceDE w:val="0"/>
              <w:autoSpaceDN w:val="0"/>
              <w:jc w:val="left"/>
              <w:rPr>
                <w:rFonts w:hint="eastAsia" w:ascii="Times New Roman" w:hAnsi="宋体" w:eastAsia="宋体" w:cs="宋体"/>
                <w:kern w:val="0"/>
                <w:sz w:val="22"/>
                <w:lang w:val="zh-CN" w:bidi="zh-CN"/>
              </w:rPr>
            </w:pPr>
          </w:p>
        </w:tc>
        <w:tc>
          <w:tcPr>
            <w:tcW w:w="2096" w:type="dxa"/>
          </w:tcPr>
          <w:p w14:paraId="4A801ABE">
            <w:pPr>
              <w:autoSpaceDE w:val="0"/>
              <w:autoSpaceDN w:val="0"/>
              <w:jc w:val="left"/>
              <w:rPr>
                <w:rFonts w:hint="eastAsia" w:ascii="Times New Roman" w:hAnsi="宋体" w:eastAsia="宋体" w:cs="宋体"/>
                <w:kern w:val="0"/>
                <w:sz w:val="22"/>
                <w:lang w:val="zh-CN" w:bidi="zh-CN"/>
              </w:rPr>
            </w:pPr>
          </w:p>
        </w:tc>
        <w:tc>
          <w:tcPr>
            <w:tcW w:w="1944" w:type="dxa"/>
          </w:tcPr>
          <w:p w14:paraId="2F8ECDB5">
            <w:pPr>
              <w:autoSpaceDE w:val="0"/>
              <w:autoSpaceDN w:val="0"/>
              <w:jc w:val="left"/>
              <w:rPr>
                <w:rFonts w:hint="eastAsia" w:ascii="Times New Roman" w:hAnsi="宋体" w:eastAsia="宋体" w:cs="宋体"/>
                <w:kern w:val="0"/>
                <w:sz w:val="22"/>
                <w:lang w:val="zh-CN" w:bidi="zh-CN"/>
              </w:rPr>
            </w:pPr>
          </w:p>
        </w:tc>
      </w:tr>
      <w:tr w14:paraId="2A66A5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A9C167F">
            <w:pPr>
              <w:autoSpaceDE w:val="0"/>
              <w:autoSpaceDN w:val="0"/>
              <w:jc w:val="left"/>
              <w:rPr>
                <w:rFonts w:hint="eastAsia" w:ascii="Times New Roman" w:hAnsi="宋体" w:eastAsia="宋体" w:cs="宋体"/>
                <w:kern w:val="0"/>
                <w:sz w:val="22"/>
                <w:lang w:val="zh-CN" w:bidi="zh-CN"/>
              </w:rPr>
            </w:pPr>
          </w:p>
        </w:tc>
        <w:tc>
          <w:tcPr>
            <w:tcW w:w="1489" w:type="dxa"/>
          </w:tcPr>
          <w:p w14:paraId="7117B3D7">
            <w:pPr>
              <w:autoSpaceDE w:val="0"/>
              <w:autoSpaceDN w:val="0"/>
              <w:jc w:val="left"/>
              <w:rPr>
                <w:rFonts w:hint="eastAsia" w:ascii="Times New Roman" w:hAnsi="宋体" w:eastAsia="宋体" w:cs="宋体"/>
                <w:kern w:val="0"/>
                <w:sz w:val="22"/>
                <w:lang w:val="zh-CN" w:bidi="zh-CN"/>
              </w:rPr>
            </w:pPr>
          </w:p>
        </w:tc>
        <w:tc>
          <w:tcPr>
            <w:tcW w:w="3184" w:type="dxa"/>
          </w:tcPr>
          <w:p w14:paraId="355B37AB">
            <w:pPr>
              <w:autoSpaceDE w:val="0"/>
              <w:autoSpaceDN w:val="0"/>
              <w:jc w:val="left"/>
              <w:rPr>
                <w:rFonts w:hint="eastAsia" w:ascii="Times New Roman" w:hAnsi="宋体" w:eastAsia="宋体" w:cs="宋体"/>
                <w:kern w:val="0"/>
                <w:sz w:val="22"/>
                <w:lang w:val="zh-CN" w:bidi="zh-CN"/>
              </w:rPr>
            </w:pPr>
          </w:p>
        </w:tc>
        <w:tc>
          <w:tcPr>
            <w:tcW w:w="2096" w:type="dxa"/>
          </w:tcPr>
          <w:p w14:paraId="077358A4">
            <w:pPr>
              <w:autoSpaceDE w:val="0"/>
              <w:autoSpaceDN w:val="0"/>
              <w:jc w:val="left"/>
              <w:rPr>
                <w:rFonts w:hint="eastAsia" w:ascii="Times New Roman" w:hAnsi="宋体" w:eastAsia="宋体" w:cs="宋体"/>
                <w:kern w:val="0"/>
                <w:sz w:val="22"/>
                <w:lang w:val="zh-CN" w:bidi="zh-CN"/>
              </w:rPr>
            </w:pPr>
          </w:p>
        </w:tc>
        <w:tc>
          <w:tcPr>
            <w:tcW w:w="1944" w:type="dxa"/>
          </w:tcPr>
          <w:p w14:paraId="6F1C43EC">
            <w:pPr>
              <w:autoSpaceDE w:val="0"/>
              <w:autoSpaceDN w:val="0"/>
              <w:jc w:val="left"/>
              <w:rPr>
                <w:rFonts w:hint="eastAsia" w:ascii="Times New Roman" w:hAnsi="宋体" w:eastAsia="宋体" w:cs="宋体"/>
                <w:kern w:val="0"/>
                <w:sz w:val="22"/>
                <w:lang w:val="zh-CN" w:bidi="zh-CN"/>
              </w:rPr>
            </w:pPr>
          </w:p>
        </w:tc>
      </w:tr>
      <w:tr w14:paraId="4B17D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3EE247D6">
            <w:pPr>
              <w:autoSpaceDE w:val="0"/>
              <w:autoSpaceDN w:val="0"/>
              <w:jc w:val="left"/>
              <w:rPr>
                <w:rFonts w:hint="eastAsia" w:ascii="Times New Roman" w:hAnsi="宋体" w:eastAsia="宋体" w:cs="宋体"/>
                <w:kern w:val="0"/>
                <w:sz w:val="22"/>
                <w:lang w:val="zh-CN" w:bidi="zh-CN"/>
              </w:rPr>
            </w:pPr>
          </w:p>
        </w:tc>
        <w:tc>
          <w:tcPr>
            <w:tcW w:w="1489" w:type="dxa"/>
          </w:tcPr>
          <w:p w14:paraId="09EAA3ED">
            <w:pPr>
              <w:autoSpaceDE w:val="0"/>
              <w:autoSpaceDN w:val="0"/>
              <w:jc w:val="left"/>
              <w:rPr>
                <w:rFonts w:hint="eastAsia" w:ascii="Times New Roman" w:hAnsi="宋体" w:eastAsia="宋体" w:cs="宋体"/>
                <w:kern w:val="0"/>
                <w:sz w:val="22"/>
                <w:lang w:val="zh-CN" w:bidi="zh-CN"/>
              </w:rPr>
            </w:pPr>
          </w:p>
        </w:tc>
        <w:tc>
          <w:tcPr>
            <w:tcW w:w="3184" w:type="dxa"/>
          </w:tcPr>
          <w:p w14:paraId="099F8402">
            <w:pPr>
              <w:autoSpaceDE w:val="0"/>
              <w:autoSpaceDN w:val="0"/>
              <w:jc w:val="left"/>
              <w:rPr>
                <w:rFonts w:hint="eastAsia" w:ascii="Times New Roman" w:hAnsi="宋体" w:eastAsia="宋体" w:cs="宋体"/>
                <w:kern w:val="0"/>
                <w:sz w:val="22"/>
                <w:lang w:val="zh-CN" w:bidi="zh-CN"/>
              </w:rPr>
            </w:pPr>
          </w:p>
        </w:tc>
        <w:tc>
          <w:tcPr>
            <w:tcW w:w="2096" w:type="dxa"/>
          </w:tcPr>
          <w:p w14:paraId="4797EA16">
            <w:pPr>
              <w:autoSpaceDE w:val="0"/>
              <w:autoSpaceDN w:val="0"/>
              <w:jc w:val="left"/>
              <w:rPr>
                <w:rFonts w:hint="eastAsia" w:ascii="Times New Roman" w:hAnsi="宋体" w:eastAsia="宋体" w:cs="宋体"/>
                <w:kern w:val="0"/>
                <w:sz w:val="22"/>
                <w:lang w:val="zh-CN" w:bidi="zh-CN"/>
              </w:rPr>
            </w:pPr>
          </w:p>
        </w:tc>
        <w:tc>
          <w:tcPr>
            <w:tcW w:w="1944" w:type="dxa"/>
          </w:tcPr>
          <w:p w14:paraId="29FC3206">
            <w:pPr>
              <w:autoSpaceDE w:val="0"/>
              <w:autoSpaceDN w:val="0"/>
              <w:jc w:val="left"/>
              <w:rPr>
                <w:rFonts w:hint="eastAsia" w:ascii="Times New Roman" w:hAnsi="宋体" w:eastAsia="宋体" w:cs="宋体"/>
                <w:kern w:val="0"/>
                <w:sz w:val="22"/>
                <w:lang w:val="zh-CN" w:bidi="zh-CN"/>
              </w:rPr>
            </w:pPr>
          </w:p>
        </w:tc>
      </w:tr>
      <w:tr w14:paraId="03BE0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C8B553D">
            <w:pPr>
              <w:autoSpaceDE w:val="0"/>
              <w:autoSpaceDN w:val="0"/>
              <w:jc w:val="left"/>
              <w:rPr>
                <w:rFonts w:hint="eastAsia" w:ascii="Times New Roman" w:hAnsi="宋体" w:eastAsia="宋体" w:cs="宋体"/>
                <w:kern w:val="0"/>
                <w:sz w:val="22"/>
                <w:lang w:val="zh-CN" w:bidi="zh-CN"/>
              </w:rPr>
            </w:pPr>
          </w:p>
        </w:tc>
        <w:tc>
          <w:tcPr>
            <w:tcW w:w="1489" w:type="dxa"/>
          </w:tcPr>
          <w:p w14:paraId="38520656">
            <w:pPr>
              <w:autoSpaceDE w:val="0"/>
              <w:autoSpaceDN w:val="0"/>
              <w:jc w:val="left"/>
              <w:rPr>
                <w:rFonts w:hint="eastAsia" w:ascii="Times New Roman" w:hAnsi="宋体" w:eastAsia="宋体" w:cs="宋体"/>
                <w:kern w:val="0"/>
                <w:sz w:val="22"/>
                <w:lang w:val="zh-CN" w:bidi="zh-CN"/>
              </w:rPr>
            </w:pPr>
          </w:p>
        </w:tc>
        <w:tc>
          <w:tcPr>
            <w:tcW w:w="3184" w:type="dxa"/>
          </w:tcPr>
          <w:p w14:paraId="3DC9F0C7">
            <w:pPr>
              <w:autoSpaceDE w:val="0"/>
              <w:autoSpaceDN w:val="0"/>
              <w:jc w:val="left"/>
              <w:rPr>
                <w:rFonts w:hint="eastAsia" w:ascii="Times New Roman" w:hAnsi="宋体" w:eastAsia="宋体" w:cs="宋体"/>
                <w:kern w:val="0"/>
                <w:sz w:val="22"/>
                <w:lang w:val="zh-CN" w:bidi="zh-CN"/>
              </w:rPr>
            </w:pPr>
          </w:p>
        </w:tc>
        <w:tc>
          <w:tcPr>
            <w:tcW w:w="2096" w:type="dxa"/>
          </w:tcPr>
          <w:p w14:paraId="0726CC7A">
            <w:pPr>
              <w:autoSpaceDE w:val="0"/>
              <w:autoSpaceDN w:val="0"/>
              <w:jc w:val="left"/>
              <w:rPr>
                <w:rFonts w:hint="eastAsia" w:ascii="Times New Roman" w:hAnsi="宋体" w:eastAsia="宋体" w:cs="宋体"/>
                <w:kern w:val="0"/>
                <w:sz w:val="22"/>
                <w:lang w:val="zh-CN" w:bidi="zh-CN"/>
              </w:rPr>
            </w:pPr>
          </w:p>
        </w:tc>
        <w:tc>
          <w:tcPr>
            <w:tcW w:w="1944" w:type="dxa"/>
          </w:tcPr>
          <w:p w14:paraId="767F110D">
            <w:pPr>
              <w:autoSpaceDE w:val="0"/>
              <w:autoSpaceDN w:val="0"/>
              <w:jc w:val="left"/>
              <w:rPr>
                <w:rFonts w:hint="eastAsia" w:ascii="Times New Roman" w:hAnsi="宋体" w:eastAsia="宋体" w:cs="宋体"/>
                <w:kern w:val="0"/>
                <w:sz w:val="22"/>
                <w:lang w:val="zh-CN" w:bidi="zh-CN"/>
              </w:rPr>
            </w:pPr>
          </w:p>
        </w:tc>
      </w:tr>
      <w:tr w14:paraId="6778B3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2CA29DE3">
            <w:pPr>
              <w:autoSpaceDE w:val="0"/>
              <w:autoSpaceDN w:val="0"/>
              <w:jc w:val="left"/>
              <w:rPr>
                <w:rFonts w:hint="eastAsia" w:ascii="Times New Roman" w:hAnsi="宋体" w:eastAsia="宋体" w:cs="宋体"/>
                <w:kern w:val="0"/>
                <w:sz w:val="22"/>
                <w:lang w:val="zh-CN" w:bidi="zh-CN"/>
              </w:rPr>
            </w:pPr>
          </w:p>
        </w:tc>
        <w:tc>
          <w:tcPr>
            <w:tcW w:w="1489" w:type="dxa"/>
          </w:tcPr>
          <w:p w14:paraId="758FE055">
            <w:pPr>
              <w:autoSpaceDE w:val="0"/>
              <w:autoSpaceDN w:val="0"/>
              <w:jc w:val="left"/>
              <w:rPr>
                <w:rFonts w:hint="eastAsia" w:ascii="Times New Roman" w:hAnsi="宋体" w:eastAsia="宋体" w:cs="宋体"/>
                <w:kern w:val="0"/>
                <w:sz w:val="22"/>
                <w:lang w:val="zh-CN" w:bidi="zh-CN"/>
              </w:rPr>
            </w:pPr>
          </w:p>
        </w:tc>
        <w:tc>
          <w:tcPr>
            <w:tcW w:w="3184" w:type="dxa"/>
          </w:tcPr>
          <w:p w14:paraId="2B9E1909">
            <w:pPr>
              <w:autoSpaceDE w:val="0"/>
              <w:autoSpaceDN w:val="0"/>
              <w:jc w:val="left"/>
              <w:rPr>
                <w:rFonts w:hint="eastAsia" w:ascii="Times New Roman" w:hAnsi="宋体" w:eastAsia="宋体" w:cs="宋体"/>
                <w:kern w:val="0"/>
                <w:sz w:val="22"/>
                <w:lang w:val="zh-CN" w:bidi="zh-CN"/>
              </w:rPr>
            </w:pPr>
          </w:p>
        </w:tc>
        <w:tc>
          <w:tcPr>
            <w:tcW w:w="2096" w:type="dxa"/>
          </w:tcPr>
          <w:p w14:paraId="6B33475B">
            <w:pPr>
              <w:autoSpaceDE w:val="0"/>
              <w:autoSpaceDN w:val="0"/>
              <w:jc w:val="left"/>
              <w:rPr>
                <w:rFonts w:hint="eastAsia" w:ascii="Times New Roman" w:hAnsi="宋体" w:eastAsia="宋体" w:cs="宋体"/>
                <w:kern w:val="0"/>
                <w:sz w:val="22"/>
                <w:lang w:val="zh-CN" w:bidi="zh-CN"/>
              </w:rPr>
            </w:pPr>
          </w:p>
        </w:tc>
        <w:tc>
          <w:tcPr>
            <w:tcW w:w="1944" w:type="dxa"/>
          </w:tcPr>
          <w:p w14:paraId="29456D24">
            <w:pPr>
              <w:autoSpaceDE w:val="0"/>
              <w:autoSpaceDN w:val="0"/>
              <w:jc w:val="left"/>
              <w:rPr>
                <w:rFonts w:hint="eastAsia" w:ascii="Times New Roman" w:hAnsi="宋体" w:eastAsia="宋体" w:cs="宋体"/>
                <w:kern w:val="0"/>
                <w:sz w:val="22"/>
                <w:lang w:val="zh-CN" w:bidi="zh-CN"/>
              </w:rPr>
            </w:pPr>
          </w:p>
        </w:tc>
      </w:tr>
      <w:tr w14:paraId="203DC4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C9C621F">
            <w:pPr>
              <w:autoSpaceDE w:val="0"/>
              <w:autoSpaceDN w:val="0"/>
              <w:jc w:val="left"/>
              <w:rPr>
                <w:rFonts w:hint="eastAsia" w:ascii="Times New Roman" w:hAnsi="宋体" w:eastAsia="宋体" w:cs="宋体"/>
                <w:kern w:val="0"/>
                <w:sz w:val="22"/>
                <w:lang w:val="zh-CN" w:bidi="zh-CN"/>
              </w:rPr>
            </w:pPr>
          </w:p>
        </w:tc>
        <w:tc>
          <w:tcPr>
            <w:tcW w:w="1489" w:type="dxa"/>
          </w:tcPr>
          <w:p w14:paraId="366D07DE">
            <w:pPr>
              <w:autoSpaceDE w:val="0"/>
              <w:autoSpaceDN w:val="0"/>
              <w:jc w:val="left"/>
              <w:rPr>
                <w:rFonts w:hint="eastAsia" w:ascii="Times New Roman" w:hAnsi="宋体" w:eastAsia="宋体" w:cs="宋体"/>
                <w:kern w:val="0"/>
                <w:sz w:val="22"/>
                <w:lang w:val="zh-CN" w:bidi="zh-CN"/>
              </w:rPr>
            </w:pPr>
          </w:p>
        </w:tc>
        <w:tc>
          <w:tcPr>
            <w:tcW w:w="3184" w:type="dxa"/>
          </w:tcPr>
          <w:p w14:paraId="0FD3A9DE">
            <w:pPr>
              <w:autoSpaceDE w:val="0"/>
              <w:autoSpaceDN w:val="0"/>
              <w:jc w:val="left"/>
              <w:rPr>
                <w:rFonts w:hint="eastAsia" w:ascii="Times New Roman" w:hAnsi="宋体" w:eastAsia="宋体" w:cs="宋体"/>
                <w:kern w:val="0"/>
                <w:sz w:val="22"/>
                <w:lang w:val="zh-CN" w:bidi="zh-CN"/>
              </w:rPr>
            </w:pPr>
          </w:p>
        </w:tc>
        <w:tc>
          <w:tcPr>
            <w:tcW w:w="2096" w:type="dxa"/>
          </w:tcPr>
          <w:p w14:paraId="4628516F">
            <w:pPr>
              <w:autoSpaceDE w:val="0"/>
              <w:autoSpaceDN w:val="0"/>
              <w:jc w:val="left"/>
              <w:rPr>
                <w:rFonts w:hint="eastAsia" w:ascii="Times New Roman" w:hAnsi="宋体" w:eastAsia="宋体" w:cs="宋体"/>
                <w:kern w:val="0"/>
                <w:sz w:val="22"/>
                <w:lang w:val="zh-CN" w:bidi="zh-CN"/>
              </w:rPr>
            </w:pPr>
          </w:p>
        </w:tc>
        <w:tc>
          <w:tcPr>
            <w:tcW w:w="1944" w:type="dxa"/>
          </w:tcPr>
          <w:p w14:paraId="13C8FA7A">
            <w:pPr>
              <w:autoSpaceDE w:val="0"/>
              <w:autoSpaceDN w:val="0"/>
              <w:jc w:val="left"/>
              <w:rPr>
                <w:rFonts w:hint="eastAsia" w:ascii="Times New Roman" w:hAnsi="宋体" w:eastAsia="宋体" w:cs="宋体"/>
                <w:kern w:val="0"/>
                <w:sz w:val="22"/>
                <w:lang w:val="zh-CN" w:bidi="zh-CN"/>
              </w:rPr>
            </w:pPr>
          </w:p>
        </w:tc>
      </w:tr>
      <w:tr w14:paraId="06D09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7C972D97">
            <w:pPr>
              <w:autoSpaceDE w:val="0"/>
              <w:autoSpaceDN w:val="0"/>
              <w:jc w:val="left"/>
              <w:rPr>
                <w:rFonts w:hint="eastAsia" w:ascii="Times New Roman" w:hAnsi="宋体" w:eastAsia="宋体" w:cs="宋体"/>
                <w:kern w:val="0"/>
                <w:sz w:val="22"/>
                <w:lang w:val="zh-CN" w:bidi="zh-CN"/>
              </w:rPr>
            </w:pPr>
          </w:p>
        </w:tc>
        <w:tc>
          <w:tcPr>
            <w:tcW w:w="1489" w:type="dxa"/>
          </w:tcPr>
          <w:p w14:paraId="4EBCF842">
            <w:pPr>
              <w:autoSpaceDE w:val="0"/>
              <w:autoSpaceDN w:val="0"/>
              <w:jc w:val="left"/>
              <w:rPr>
                <w:rFonts w:hint="eastAsia" w:ascii="Times New Roman" w:hAnsi="宋体" w:eastAsia="宋体" w:cs="宋体"/>
                <w:kern w:val="0"/>
                <w:sz w:val="22"/>
                <w:lang w:val="zh-CN" w:bidi="zh-CN"/>
              </w:rPr>
            </w:pPr>
          </w:p>
        </w:tc>
        <w:tc>
          <w:tcPr>
            <w:tcW w:w="3184" w:type="dxa"/>
          </w:tcPr>
          <w:p w14:paraId="428CE64D">
            <w:pPr>
              <w:autoSpaceDE w:val="0"/>
              <w:autoSpaceDN w:val="0"/>
              <w:jc w:val="left"/>
              <w:rPr>
                <w:rFonts w:hint="eastAsia" w:ascii="Times New Roman" w:hAnsi="宋体" w:eastAsia="宋体" w:cs="宋体"/>
                <w:kern w:val="0"/>
                <w:sz w:val="22"/>
                <w:lang w:val="zh-CN" w:bidi="zh-CN"/>
              </w:rPr>
            </w:pPr>
          </w:p>
        </w:tc>
        <w:tc>
          <w:tcPr>
            <w:tcW w:w="2096" w:type="dxa"/>
          </w:tcPr>
          <w:p w14:paraId="326BE826">
            <w:pPr>
              <w:autoSpaceDE w:val="0"/>
              <w:autoSpaceDN w:val="0"/>
              <w:jc w:val="left"/>
              <w:rPr>
                <w:rFonts w:hint="eastAsia" w:ascii="Times New Roman" w:hAnsi="宋体" w:eastAsia="宋体" w:cs="宋体"/>
                <w:kern w:val="0"/>
                <w:sz w:val="22"/>
                <w:lang w:val="zh-CN" w:bidi="zh-CN"/>
              </w:rPr>
            </w:pPr>
          </w:p>
        </w:tc>
        <w:tc>
          <w:tcPr>
            <w:tcW w:w="1944" w:type="dxa"/>
          </w:tcPr>
          <w:p w14:paraId="70B5BAEA">
            <w:pPr>
              <w:autoSpaceDE w:val="0"/>
              <w:autoSpaceDN w:val="0"/>
              <w:jc w:val="left"/>
              <w:rPr>
                <w:rFonts w:hint="eastAsia" w:ascii="Times New Roman" w:hAnsi="宋体" w:eastAsia="宋体" w:cs="宋体"/>
                <w:kern w:val="0"/>
                <w:sz w:val="22"/>
                <w:lang w:val="zh-CN" w:bidi="zh-CN"/>
              </w:rPr>
            </w:pPr>
          </w:p>
        </w:tc>
      </w:tr>
      <w:tr w14:paraId="32759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2F0A82">
            <w:pPr>
              <w:autoSpaceDE w:val="0"/>
              <w:autoSpaceDN w:val="0"/>
              <w:jc w:val="left"/>
              <w:rPr>
                <w:rFonts w:hint="eastAsia" w:ascii="Times New Roman" w:hAnsi="宋体" w:eastAsia="宋体" w:cs="宋体"/>
                <w:kern w:val="0"/>
                <w:sz w:val="22"/>
                <w:lang w:val="zh-CN" w:bidi="zh-CN"/>
              </w:rPr>
            </w:pPr>
          </w:p>
        </w:tc>
        <w:tc>
          <w:tcPr>
            <w:tcW w:w="1489" w:type="dxa"/>
          </w:tcPr>
          <w:p w14:paraId="03B2E2EA">
            <w:pPr>
              <w:autoSpaceDE w:val="0"/>
              <w:autoSpaceDN w:val="0"/>
              <w:jc w:val="left"/>
              <w:rPr>
                <w:rFonts w:hint="eastAsia" w:ascii="Times New Roman" w:hAnsi="宋体" w:eastAsia="宋体" w:cs="宋体"/>
                <w:kern w:val="0"/>
                <w:sz w:val="22"/>
                <w:lang w:val="zh-CN" w:bidi="zh-CN"/>
              </w:rPr>
            </w:pPr>
          </w:p>
        </w:tc>
        <w:tc>
          <w:tcPr>
            <w:tcW w:w="3184" w:type="dxa"/>
          </w:tcPr>
          <w:p w14:paraId="00B7DBA4">
            <w:pPr>
              <w:autoSpaceDE w:val="0"/>
              <w:autoSpaceDN w:val="0"/>
              <w:jc w:val="left"/>
              <w:rPr>
                <w:rFonts w:hint="eastAsia" w:ascii="Times New Roman" w:hAnsi="宋体" w:eastAsia="宋体" w:cs="宋体"/>
                <w:kern w:val="0"/>
                <w:sz w:val="22"/>
                <w:lang w:val="zh-CN" w:bidi="zh-CN"/>
              </w:rPr>
            </w:pPr>
          </w:p>
        </w:tc>
        <w:tc>
          <w:tcPr>
            <w:tcW w:w="2096" w:type="dxa"/>
          </w:tcPr>
          <w:p w14:paraId="2871D1A3">
            <w:pPr>
              <w:autoSpaceDE w:val="0"/>
              <w:autoSpaceDN w:val="0"/>
              <w:jc w:val="left"/>
              <w:rPr>
                <w:rFonts w:hint="eastAsia" w:ascii="Times New Roman" w:hAnsi="宋体" w:eastAsia="宋体" w:cs="宋体"/>
                <w:kern w:val="0"/>
                <w:sz w:val="22"/>
                <w:lang w:val="zh-CN" w:bidi="zh-CN"/>
              </w:rPr>
            </w:pPr>
          </w:p>
        </w:tc>
        <w:tc>
          <w:tcPr>
            <w:tcW w:w="1944" w:type="dxa"/>
          </w:tcPr>
          <w:p w14:paraId="31841064">
            <w:pPr>
              <w:autoSpaceDE w:val="0"/>
              <w:autoSpaceDN w:val="0"/>
              <w:jc w:val="left"/>
              <w:rPr>
                <w:rFonts w:hint="eastAsia" w:ascii="Times New Roman" w:hAnsi="宋体" w:eastAsia="宋体" w:cs="宋体"/>
                <w:kern w:val="0"/>
                <w:sz w:val="22"/>
                <w:lang w:val="zh-CN" w:bidi="zh-CN"/>
              </w:rPr>
            </w:pPr>
          </w:p>
        </w:tc>
      </w:tr>
      <w:tr w14:paraId="75012C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44E1A0F">
            <w:pPr>
              <w:autoSpaceDE w:val="0"/>
              <w:autoSpaceDN w:val="0"/>
              <w:jc w:val="left"/>
              <w:rPr>
                <w:rFonts w:hint="eastAsia" w:ascii="Times New Roman" w:hAnsi="宋体" w:eastAsia="宋体" w:cs="宋体"/>
                <w:kern w:val="0"/>
                <w:sz w:val="22"/>
                <w:lang w:val="zh-CN" w:bidi="zh-CN"/>
              </w:rPr>
            </w:pPr>
          </w:p>
        </w:tc>
        <w:tc>
          <w:tcPr>
            <w:tcW w:w="1489" w:type="dxa"/>
          </w:tcPr>
          <w:p w14:paraId="234A8D93">
            <w:pPr>
              <w:autoSpaceDE w:val="0"/>
              <w:autoSpaceDN w:val="0"/>
              <w:jc w:val="left"/>
              <w:rPr>
                <w:rFonts w:hint="eastAsia" w:ascii="Times New Roman" w:hAnsi="宋体" w:eastAsia="宋体" w:cs="宋体"/>
                <w:kern w:val="0"/>
                <w:sz w:val="22"/>
                <w:lang w:val="zh-CN" w:bidi="zh-CN"/>
              </w:rPr>
            </w:pPr>
          </w:p>
        </w:tc>
        <w:tc>
          <w:tcPr>
            <w:tcW w:w="3184" w:type="dxa"/>
          </w:tcPr>
          <w:p w14:paraId="7E261392">
            <w:pPr>
              <w:autoSpaceDE w:val="0"/>
              <w:autoSpaceDN w:val="0"/>
              <w:jc w:val="left"/>
              <w:rPr>
                <w:rFonts w:hint="eastAsia" w:ascii="Times New Roman" w:hAnsi="宋体" w:eastAsia="宋体" w:cs="宋体"/>
                <w:kern w:val="0"/>
                <w:sz w:val="22"/>
                <w:lang w:val="zh-CN" w:bidi="zh-CN"/>
              </w:rPr>
            </w:pPr>
          </w:p>
        </w:tc>
        <w:tc>
          <w:tcPr>
            <w:tcW w:w="2096" w:type="dxa"/>
          </w:tcPr>
          <w:p w14:paraId="15C9B9B5">
            <w:pPr>
              <w:autoSpaceDE w:val="0"/>
              <w:autoSpaceDN w:val="0"/>
              <w:jc w:val="left"/>
              <w:rPr>
                <w:rFonts w:hint="eastAsia" w:ascii="Times New Roman" w:hAnsi="宋体" w:eastAsia="宋体" w:cs="宋体"/>
                <w:kern w:val="0"/>
                <w:sz w:val="22"/>
                <w:lang w:val="zh-CN" w:bidi="zh-CN"/>
              </w:rPr>
            </w:pPr>
          </w:p>
        </w:tc>
        <w:tc>
          <w:tcPr>
            <w:tcW w:w="1944" w:type="dxa"/>
          </w:tcPr>
          <w:p w14:paraId="76E61D5B">
            <w:pPr>
              <w:autoSpaceDE w:val="0"/>
              <w:autoSpaceDN w:val="0"/>
              <w:jc w:val="left"/>
              <w:rPr>
                <w:rFonts w:hint="eastAsia" w:ascii="Times New Roman" w:hAnsi="宋体" w:eastAsia="宋体" w:cs="宋体"/>
                <w:kern w:val="0"/>
                <w:sz w:val="22"/>
                <w:lang w:val="zh-CN" w:bidi="zh-CN"/>
              </w:rPr>
            </w:pPr>
          </w:p>
        </w:tc>
      </w:tr>
    </w:tbl>
    <w:p w14:paraId="491A375D">
      <w:pPr>
        <w:autoSpaceDE w:val="0"/>
        <w:autoSpaceDN w:val="0"/>
        <w:spacing w:before="1"/>
        <w:jc w:val="left"/>
        <w:rPr>
          <w:rFonts w:hint="eastAsia" w:ascii="宋体" w:hAnsi="宋体" w:eastAsia="宋体" w:cs="宋体"/>
          <w:kern w:val="0"/>
          <w:sz w:val="14"/>
          <w:szCs w:val="24"/>
          <w:lang w:val="zh-CN" w:bidi="zh-CN"/>
        </w:rPr>
      </w:pPr>
    </w:p>
    <w:p w14:paraId="0DCAD603">
      <w:pPr>
        <w:autoSpaceDE w:val="0"/>
        <w:autoSpaceDN w:val="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980E1CB">
      <w:pPr>
        <w:autoSpaceDE w:val="0"/>
        <w:autoSpaceDN w:val="0"/>
        <w:spacing w:before="158" w:line="276" w:lineRule="auto"/>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0630523">
      <w:pPr>
        <w:autoSpaceDE w:val="0"/>
        <w:autoSpaceDN w:val="0"/>
        <w:spacing w:before="168" w:line="276" w:lineRule="auto"/>
        <w:ind w:right="-1338" w:rightChars="-637"/>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2、</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应在上表中明确投标文件商务部分与招标文件要求的商务条款偏离情况</w:t>
      </w:r>
      <w:r>
        <w:rPr>
          <w:rFonts w:hint="eastAsia" w:ascii="宋体" w:hAnsi="宋体" w:eastAsia="宋体" w:cs="宋体"/>
          <w:kern w:val="0"/>
          <w:sz w:val="24"/>
          <w:szCs w:val="24"/>
          <w:lang w:val="zh-CN" w:bidi="zh-CN"/>
        </w:rPr>
        <w:t>。</w:t>
      </w:r>
    </w:p>
    <w:p w14:paraId="11C8C1C5">
      <w:pPr>
        <w:autoSpaceDE w:val="0"/>
        <w:autoSpaceDN w:val="0"/>
        <w:spacing w:before="8"/>
        <w:jc w:val="left"/>
        <w:rPr>
          <w:rFonts w:hint="eastAsia" w:ascii="宋体" w:hAnsi="宋体" w:eastAsia="宋体" w:cs="宋体"/>
          <w:kern w:val="0"/>
          <w:sz w:val="22"/>
          <w:szCs w:val="24"/>
          <w:lang w:val="zh-CN" w:bidi="zh-CN"/>
        </w:rPr>
      </w:pPr>
    </w:p>
    <w:p w14:paraId="5DBE62EE">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投标人（公章）：</w:t>
      </w:r>
    </w:p>
    <w:p w14:paraId="6BE61F6C">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p>
    <w:p w14:paraId="76505FB4">
      <w:pPr>
        <w:tabs>
          <w:tab w:val="left" w:pos="6754"/>
        </w:tabs>
        <w:autoSpaceDE w:val="0"/>
        <w:autoSpaceDN w:val="0"/>
        <w:spacing w:before="107"/>
        <w:rPr>
          <w:rFonts w:hint="eastAsia" w:ascii="宋体" w:hAnsi="宋体" w:eastAsia="宋体" w:cs="宋体"/>
          <w:kern w:val="0"/>
          <w:sz w:val="24"/>
          <w:szCs w:val="24"/>
          <w:lang w:val="zh-CN" w:bidi="zh-CN"/>
        </w:rPr>
      </w:pPr>
    </w:p>
    <w:p w14:paraId="047464C5">
      <w:pPr>
        <w:tabs>
          <w:tab w:val="left" w:pos="6754"/>
        </w:tabs>
        <w:autoSpaceDE w:val="0"/>
        <w:autoSpaceDN w:val="0"/>
        <w:spacing w:before="107"/>
        <w:rPr>
          <w:rFonts w:hint="eastAsia" w:ascii="宋体" w:hAnsi="宋体" w:eastAsia="宋体" w:cs="宋体"/>
          <w:kern w:val="0"/>
          <w:sz w:val="24"/>
          <w:szCs w:val="24"/>
          <w:lang w:val="zh-CN" w:bidi="zh-CN"/>
        </w:rPr>
      </w:pPr>
    </w:p>
    <w:p w14:paraId="004A8E18">
      <w:pPr>
        <w:tabs>
          <w:tab w:val="left" w:pos="6754"/>
        </w:tabs>
        <w:autoSpaceDE w:val="0"/>
        <w:autoSpaceDN w:val="0"/>
        <w:spacing w:before="107"/>
        <w:rPr>
          <w:rFonts w:hint="eastAsia" w:ascii="宋体" w:hAnsi="宋体" w:eastAsia="宋体" w:cs="宋体"/>
          <w:kern w:val="0"/>
          <w:sz w:val="24"/>
          <w:szCs w:val="24"/>
          <w:lang w:val="zh-CN" w:bidi="zh-CN"/>
        </w:rPr>
      </w:pPr>
    </w:p>
    <w:p w14:paraId="4739EEDB">
      <w:pPr>
        <w:tabs>
          <w:tab w:val="left" w:pos="6754"/>
        </w:tabs>
        <w:autoSpaceDE w:val="0"/>
        <w:autoSpaceDN w:val="0"/>
        <w:spacing w:before="107"/>
        <w:rPr>
          <w:rFonts w:hint="eastAsia" w:ascii="宋体" w:hAnsi="宋体" w:eastAsia="宋体" w:cs="宋体"/>
          <w:kern w:val="0"/>
          <w:sz w:val="24"/>
          <w:szCs w:val="24"/>
          <w:lang w:val="zh-CN" w:bidi="zh-CN"/>
        </w:rPr>
      </w:pPr>
    </w:p>
    <w:p w14:paraId="148D33FC">
      <w:pPr>
        <w:tabs>
          <w:tab w:val="left" w:pos="6754"/>
        </w:tabs>
        <w:autoSpaceDE w:val="0"/>
        <w:autoSpaceDN w:val="0"/>
        <w:spacing w:before="107"/>
        <w:rPr>
          <w:rFonts w:hint="eastAsia" w:ascii="宋体" w:hAnsi="宋体" w:eastAsia="宋体" w:cs="宋体"/>
          <w:kern w:val="0"/>
          <w:sz w:val="24"/>
          <w:szCs w:val="24"/>
          <w:lang w:val="zh-CN" w:bidi="zh-CN"/>
        </w:rPr>
      </w:pPr>
    </w:p>
    <w:p w14:paraId="0810060B">
      <w:pPr>
        <w:tabs>
          <w:tab w:val="left" w:pos="6754"/>
        </w:tabs>
        <w:autoSpaceDE w:val="0"/>
        <w:autoSpaceDN w:val="0"/>
        <w:spacing w:before="107"/>
        <w:rPr>
          <w:rFonts w:hint="eastAsia" w:ascii="宋体" w:hAnsi="宋体" w:eastAsia="宋体" w:cs="宋体"/>
          <w:kern w:val="0"/>
          <w:sz w:val="24"/>
          <w:szCs w:val="24"/>
          <w:lang w:val="zh-CN" w:bidi="zh-CN"/>
        </w:rPr>
      </w:pPr>
    </w:p>
    <w:p w14:paraId="69C49003">
      <w:pPr>
        <w:tabs>
          <w:tab w:val="left" w:pos="6754"/>
        </w:tabs>
        <w:autoSpaceDE w:val="0"/>
        <w:autoSpaceDN w:val="0"/>
        <w:spacing w:before="107"/>
        <w:rPr>
          <w:rFonts w:hint="eastAsia" w:ascii="宋体" w:hAnsi="宋体" w:eastAsia="宋体" w:cs="宋体"/>
          <w:kern w:val="0"/>
          <w:sz w:val="24"/>
          <w:szCs w:val="24"/>
          <w:lang w:val="zh-CN" w:bidi="zh-CN"/>
        </w:rPr>
      </w:pPr>
    </w:p>
    <w:p w14:paraId="34D5AFE3">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附件七、《技术条款偏离表》</w:t>
      </w:r>
    </w:p>
    <w:p w14:paraId="04C9676B">
      <w:pPr>
        <w:autoSpaceDE w:val="0"/>
        <w:autoSpaceDN w:val="0"/>
        <w:spacing w:before="49"/>
        <w:jc w:val="center"/>
        <w:rPr>
          <w:rFonts w:hint="eastAsia" w:ascii="宋体" w:hAnsi="宋体" w:eastAsia="宋体" w:cs="宋体"/>
          <w:kern w:val="0"/>
          <w:sz w:val="30"/>
          <w:szCs w:val="30"/>
          <w:lang w:val="zh-CN" w:bidi="zh-CN"/>
        </w:rPr>
      </w:pPr>
    </w:p>
    <w:p w14:paraId="3D912014">
      <w:pPr>
        <w:autoSpaceDE w:val="0"/>
        <w:autoSpaceDN w:val="0"/>
        <w:ind w:right="2636"/>
        <w:jc w:val="right"/>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技术条款偏离表格式</w:t>
      </w:r>
    </w:p>
    <w:p w14:paraId="03887F8D">
      <w:pPr>
        <w:tabs>
          <w:tab w:val="left" w:pos="6972"/>
        </w:tabs>
        <w:autoSpaceDE w:val="0"/>
        <w:autoSpaceDN w:val="0"/>
        <w:spacing w:before="158"/>
        <w:ind w:left="65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w:t>
      </w:r>
      <w:r>
        <w:rPr>
          <w:rFonts w:ascii="宋体" w:hAnsi="宋体" w:eastAsia="宋体" w:cs="宋体"/>
          <w:spacing w:val="-3"/>
          <w:kern w:val="0"/>
          <w:sz w:val="24"/>
          <w:szCs w:val="24"/>
          <w:lang w:val="zh-CN" w:bidi="zh-CN"/>
        </w:rPr>
        <w:t>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p w14:paraId="2692075C">
      <w:pPr>
        <w:autoSpaceDE w:val="0"/>
        <w:autoSpaceDN w:val="0"/>
        <w:spacing w:before="2"/>
        <w:jc w:val="left"/>
        <w:rPr>
          <w:rFonts w:hint="eastAsia" w:ascii="宋体" w:hAnsi="宋体" w:eastAsia="宋体" w:cs="宋体"/>
          <w:kern w:val="0"/>
          <w:sz w:val="14"/>
          <w:szCs w:val="24"/>
          <w:lang w:val="zh-CN" w:bidi="zh-CN"/>
        </w:rPr>
      </w:pPr>
    </w:p>
    <w:tbl>
      <w:tblPr>
        <w:tblStyle w:val="58"/>
        <w:tblW w:w="898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9"/>
        <w:gridCol w:w="1539"/>
        <w:gridCol w:w="2566"/>
        <w:gridCol w:w="3079"/>
        <w:gridCol w:w="1046"/>
      </w:tblGrid>
      <w:tr w14:paraId="25D45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7" w:hRule="atLeast"/>
        </w:trPr>
        <w:tc>
          <w:tcPr>
            <w:tcW w:w="759" w:type="dxa"/>
            <w:vAlign w:val="center"/>
          </w:tcPr>
          <w:p w14:paraId="3758A291">
            <w:pPr>
              <w:autoSpaceDE w:val="0"/>
              <w:autoSpaceDN w:val="0"/>
              <w:ind w:left="172"/>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序号 </w:t>
            </w:r>
          </w:p>
        </w:tc>
        <w:tc>
          <w:tcPr>
            <w:tcW w:w="1539" w:type="dxa"/>
            <w:vAlign w:val="center"/>
          </w:tcPr>
          <w:p w14:paraId="595860F4">
            <w:pPr>
              <w:autoSpaceDE w:val="0"/>
              <w:autoSpaceDN w:val="0"/>
              <w:ind w:left="441"/>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条目号 </w:t>
            </w:r>
          </w:p>
        </w:tc>
        <w:tc>
          <w:tcPr>
            <w:tcW w:w="2566" w:type="dxa"/>
            <w:vAlign w:val="center"/>
          </w:tcPr>
          <w:p w14:paraId="59458902">
            <w:pPr>
              <w:autoSpaceDE w:val="0"/>
              <w:autoSpaceDN w:val="0"/>
              <w:spacing w:line="295" w:lineRule="exact"/>
              <w:ind w:left="300" w:right="179"/>
              <w:jc w:val="center"/>
              <w:rPr>
                <w:rFonts w:hint="eastAsia" w:ascii="宋体" w:hAnsi="宋体" w:eastAsia="宋体" w:cs="宋体"/>
                <w:kern w:val="0"/>
                <w:sz w:val="24"/>
                <w:lang w:val="zh-CN" w:bidi="zh-CN"/>
              </w:rPr>
            </w:pPr>
            <w:r>
              <w:rPr>
                <w:rFonts w:ascii="宋体" w:hAnsi="宋体" w:eastAsia="宋体" w:cs="宋体"/>
                <w:kern w:val="0"/>
                <w:sz w:val="24"/>
                <w:lang w:val="zh-CN" w:bidi="zh-CN"/>
              </w:rPr>
              <w:t xml:space="preserve">招标项目要求提供的技术或服务要求 </w:t>
            </w:r>
          </w:p>
        </w:tc>
        <w:tc>
          <w:tcPr>
            <w:tcW w:w="3079" w:type="dxa"/>
            <w:vAlign w:val="center"/>
          </w:tcPr>
          <w:p w14:paraId="06E92FC0">
            <w:pPr>
              <w:autoSpaceDE w:val="0"/>
              <w:autoSpaceDN w:val="0"/>
              <w:ind w:left="112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投标响应 </w:t>
            </w:r>
          </w:p>
        </w:tc>
        <w:tc>
          <w:tcPr>
            <w:tcW w:w="1046" w:type="dxa"/>
            <w:vAlign w:val="center"/>
          </w:tcPr>
          <w:p w14:paraId="44D4768A">
            <w:pPr>
              <w:autoSpaceDE w:val="0"/>
              <w:autoSpaceDN w:val="0"/>
              <w:ind w:left="30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偏离 </w:t>
            </w:r>
          </w:p>
        </w:tc>
      </w:tr>
      <w:tr w14:paraId="4291B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5EEEA36C">
            <w:pPr>
              <w:autoSpaceDE w:val="0"/>
              <w:autoSpaceDN w:val="0"/>
              <w:jc w:val="left"/>
              <w:rPr>
                <w:rFonts w:hint="eastAsia" w:ascii="Times New Roman" w:hAnsi="宋体" w:eastAsia="宋体" w:cs="宋体"/>
                <w:kern w:val="0"/>
                <w:sz w:val="22"/>
                <w:lang w:val="zh-CN" w:bidi="zh-CN"/>
              </w:rPr>
            </w:pPr>
          </w:p>
        </w:tc>
        <w:tc>
          <w:tcPr>
            <w:tcW w:w="1539" w:type="dxa"/>
          </w:tcPr>
          <w:p w14:paraId="04005428">
            <w:pPr>
              <w:autoSpaceDE w:val="0"/>
              <w:autoSpaceDN w:val="0"/>
              <w:jc w:val="left"/>
              <w:rPr>
                <w:rFonts w:hint="eastAsia" w:ascii="Times New Roman" w:hAnsi="宋体" w:eastAsia="宋体" w:cs="宋体"/>
                <w:kern w:val="0"/>
                <w:sz w:val="22"/>
                <w:lang w:val="zh-CN" w:bidi="zh-CN"/>
              </w:rPr>
            </w:pPr>
          </w:p>
        </w:tc>
        <w:tc>
          <w:tcPr>
            <w:tcW w:w="2566" w:type="dxa"/>
          </w:tcPr>
          <w:p w14:paraId="1BA947EB">
            <w:pPr>
              <w:autoSpaceDE w:val="0"/>
              <w:autoSpaceDN w:val="0"/>
              <w:jc w:val="left"/>
              <w:rPr>
                <w:rFonts w:hint="eastAsia" w:ascii="Times New Roman" w:hAnsi="宋体" w:eastAsia="宋体" w:cs="宋体"/>
                <w:kern w:val="0"/>
                <w:sz w:val="22"/>
                <w:lang w:val="zh-CN" w:bidi="zh-CN"/>
              </w:rPr>
            </w:pPr>
          </w:p>
        </w:tc>
        <w:tc>
          <w:tcPr>
            <w:tcW w:w="3079" w:type="dxa"/>
          </w:tcPr>
          <w:p w14:paraId="4838BD7D">
            <w:pPr>
              <w:autoSpaceDE w:val="0"/>
              <w:autoSpaceDN w:val="0"/>
              <w:jc w:val="left"/>
              <w:rPr>
                <w:rFonts w:hint="eastAsia" w:ascii="Times New Roman" w:hAnsi="宋体" w:eastAsia="宋体" w:cs="宋体"/>
                <w:kern w:val="0"/>
                <w:sz w:val="22"/>
                <w:lang w:val="zh-CN" w:bidi="zh-CN"/>
              </w:rPr>
            </w:pPr>
          </w:p>
        </w:tc>
        <w:tc>
          <w:tcPr>
            <w:tcW w:w="1046" w:type="dxa"/>
          </w:tcPr>
          <w:p w14:paraId="43CA4A50">
            <w:pPr>
              <w:autoSpaceDE w:val="0"/>
              <w:autoSpaceDN w:val="0"/>
              <w:jc w:val="left"/>
              <w:rPr>
                <w:rFonts w:hint="eastAsia" w:ascii="Times New Roman" w:hAnsi="宋体" w:eastAsia="宋体" w:cs="宋体"/>
                <w:kern w:val="0"/>
                <w:sz w:val="22"/>
                <w:lang w:val="zh-CN" w:bidi="zh-CN"/>
              </w:rPr>
            </w:pPr>
          </w:p>
        </w:tc>
      </w:tr>
      <w:tr w14:paraId="6AE51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6B9D4585">
            <w:pPr>
              <w:autoSpaceDE w:val="0"/>
              <w:autoSpaceDN w:val="0"/>
              <w:jc w:val="left"/>
              <w:rPr>
                <w:rFonts w:hint="eastAsia" w:ascii="Times New Roman" w:hAnsi="宋体" w:eastAsia="宋体" w:cs="宋体"/>
                <w:kern w:val="0"/>
                <w:sz w:val="22"/>
                <w:lang w:val="zh-CN" w:bidi="zh-CN"/>
              </w:rPr>
            </w:pPr>
          </w:p>
        </w:tc>
        <w:tc>
          <w:tcPr>
            <w:tcW w:w="1539" w:type="dxa"/>
          </w:tcPr>
          <w:p w14:paraId="0B80E380">
            <w:pPr>
              <w:autoSpaceDE w:val="0"/>
              <w:autoSpaceDN w:val="0"/>
              <w:jc w:val="left"/>
              <w:rPr>
                <w:rFonts w:hint="eastAsia" w:ascii="Times New Roman" w:hAnsi="宋体" w:eastAsia="宋体" w:cs="宋体"/>
                <w:kern w:val="0"/>
                <w:sz w:val="22"/>
                <w:lang w:val="zh-CN" w:bidi="zh-CN"/>
              </w:rPr>
            </w:pPr>
          </w:p>
        </w:tc>
        <w:tc>
          <w:tcPr>
            <w:tcW w:w="2566" w:type="dxa"/>
          </w:tcPr>
          <w:p w14:paraId="6AA4536E">
            <w:pPr>
              <w:autoSpaceDE w:val="0"/>
              <w:autoSpaceDN w:val="0"/>
              <w:jc w:val="left"/>
              <w:rPr>
                <w:rFonts w:hint="eastAsia" w:ascii="Times New Roman" w:hAnsi="宋体" w:eastAsia="宋体" w:cs="宋体"/>
                <w:kern w:val="0"/>
                <w:sz w:val="22"/>
                <w:lang w:val="zh-CN" w:bidi="zh-CN"/>
              </w:rPr>
            </w:pPr>
          </w:p>
        </w:tc>
        <w:tc>
          <w:tcPr>
            <w:tcW w:w="3079" w:type="dxa"/>
          </w:tcPr>
          <w:p w14:paraId="3D218A10">
            <w:pPr>
              <w:autoSpaceDE w:val="0"/>
              <w:autoSpaceDN w:val="0"/>
              <w:jc w:val="left"/>
              <w:rPr>
                <w:rFonts w:hint="eastAsia" w:ascii="Times New Roman" w:hAnsi="宋体" w:eastAsia="宋体" w:cs="宋体"/>
                <w:kern w:val="0"/>
                <w:sz w:val="22"/>
                <w:lang w:val="zh-CN" w:bidi="zh-CN"/>
              </w:rPr>
            </w:pPr>
          </w:p>
        </w:tc>
        <w:tc>
          <w:tcPr>
            <w:tcW w:w="1046" w:type="dxa"/>
          </w:tcPr>
          <w:p w14:paraId="4ABA5F41">
            <w:pPr>
              <w:autoSpaceDE w:val="0"/>
              <w:autoSpaceDN w:val="0"/>
              <w:jc w:val="left"/>
              <w:rPr>
                <w:rFonts w:hint="eastAsia" w:ascii="Times New Roman" w:hAnsi="宋体" w:eastAsia="宋体" w:cs="宋体"/>
                <w:kern w:val="0"/>
                <w:sz w:val="22"/>
                <w:lang w:val="zh-CN" w:bidi="zh-CN"/>
              </w:rPr>
            </w:pPr>
          </w:p>
        </w:tc>
      </w:tr>
      <w:tr w14:paraId="39D443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720F477E">
            <w:pPr>
              <w:autoSpaceDE w:val="0"/>
              <w:autoSpaceDN w:val="0"/>
              <w:jc w:val="left"/>
              <w:rPr>
                <w:rFonts w:hint="eastAsia" w:ascii="Times New Roman" w:hAnsi="宋体" w:eastAsia="宋体" w:cs="宋体"/>
                <w:kern w:val="0"/>
                <w:sz w:val="22"/>
                <w:lang w:val="zh-CN" w:bidi="zh-CN"/>
              </w:rPr>
            </w:pPr>
          </w:p>
        </w:tc>
        <w:tc>
          <w:tcPr>
            <w:tcW w:w="1539" w:type="dxa"/>
          </w:tcPr>
          <w:p w14:paraId="4F369573">
            <w:pPr>
              <w:autoSpaceDE w:val="0"/>
              <w:autoSpaceDN w:val="0"/>
              <w:jc w:val="left"/>
              <w:rPr>
                <w:rFonts w:hint="eastAsia" w:ascii="Times New Roman" w:hAnsi="宋体" w:eastAsia="宋体" w:cs="宋体"/>
                <w:kern w:val="0"/>
                <w:sz w:val="22"/>
                <w:lang w:val="zh-CN" w:bidi="zh-CN"/>
              </w:rPr>
            </w:pPr>
          </w:p>
        </w:tc>
        <w:tc>
          <w:tcPr>
            <w:tcW w:w="2566" w:type="dxa"/>
          </w:tcPr>
          <w:p w14:paraId="7C102D2C">
            <w:pPr>
              <w:autoSpaceDE w:val="0"/>
              <w:autoSpaceDN w:val="0"/>
              <w:jc w:val="left"/>
              <w:rPr>
                <w:rFonts w:hint="eastAsia" w:ascii="Times New Roman" w:hAnsi="宋体" w:eastAsia="宋体" w:cs="宋体"/>
                <w:kern w:val="0"/>
                <w:sz w:val="22"/>
                <w:lang w:val="zh-CN" w:bidi="zh-CN"/>
              </w:rPr>
            </w:pPr>
          </w:p>
        </w:tc>
        <w:tc>
          <w:tcPr>
            <w:tcW w:w="3079" w:type="dxa"/>
          </w:tcPr>
          <w:p w14:paraId="13A1ED5E">
            <w:pPr>
              <w:autoSpaceDE w:val="0"/>
              <w:autoSpaceDN w:val="0"/>
              <w:jc w:val="left"/>
              <w:rPr>
                <w:rFonts w:hint="eastAsia" w:ascii="Times New Roman" w:hAnsi="宋体" w:eastAsia="宋体" w:cs="宋体"/>
                <w:kern w:val="0"/>
                <w:sz w:val="22"/>
                <w:lang w:val="zh-CN" w:bidi="zh-CN"/>
              </w:rPr>
            </w:pPr>
          </w:p>
        </w:tc>
        <w:tc>
          <w:tcPr>
            <w:tcW w:w="1046" w:type="dxa"/>
          </w:tcPr>
          <w:p w14:paraId="461BF6B4">
            <w:pPr>
              <w:autoSpaceDE w:val="0"/>
              <w:autoSpaceDN w:val="0"/>
              <w:jc w:val="left"/>
              <w:rPr>
                <w:rFonts w:hint="eastAsia" w:ascii="Times New Roman" w:hAnsi="宋体" w:eastAsia="宋体" w:cs="宋体"/>
                <w:kern w:val="0"/>
                <w:sz w:val="22"/>
                <w:lang w:val="zh-CN" w:bidi="zh-CN"/>
              </w:rPr>
            </w:pPr>
          </w:p>
        </w:tc>
      </w:tr>
      <w:tr w14:paraId="39922B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2" w:hRule="atLeast"/>
        </w:trPr>
        <w:tc>
          <w:tcPr>
            <w:tcW w:w="759" w:type="dxa"/>
          </w:tcPr>
          <w:p w14:paraId="1F207733">
            <w:pPr>
              <w:autoSpaceDE w:val="0"/>
              <w:autoSpaceDN w:val="0"/>
              <w:jc w:val="left"/>
              <w:rPr>
                <w:rFonts w:hint="eastAsia" w:ascii="Times New Roman" w:hAnsi="宋体" w:eastAsia="宋体" w:cs="宋体"/>
                <w:kern w:val="0"/>
                <w:sz w:val="22"/>
                <w:lang w:val="zh-CN" w:bidi="zh-CN"/>
              </w:rPr>
            </w:pPr>
          </w:p>
        </w:tc>
        <w:tc>
          <w:tcPr>
            <w:tcW w:w="1539" w:type="dxa"/>
          </w:tcPr>
          <w:p w14:paraId="3B899F11">
            <w:pPr>
              <w:autoSpaceDE w:val="0"/>
              <w:autoSpaceDN w:val="0"/>
              <w:jc w:val="left"/>
              <w:rPr>
                <w:rFonts w:hint="eastAsia" w:ascii="Times New Roman" w:hAnsi="宋体" w:eastAsia="宋体" w:cs="宋体"/>
                <w:kern w:val="0"/>
                <w:sz w:val="22"/>
                <w:lang w:val="zh-CN" w:bidi="zh-CN"/>
              </w:rPr>
            </w:pPr>
          </w:p>
        </w:tc>
        <w:tc>
          <w:tcPr>
            <w:tcW w:w="2566" w:type="dxa"/>
          </w:tcPr>
          <w:p w14:paraId="29A82A37">
            <w:pPr>
              <w:autoSpaceDE w:val="0"/>
              <w:autoSpaceDN w:val="0"/>
              <w:jc w:val="left"/>
              <w:rPr>
                <w:rFonts w:hint="eastAsia" w:ascii="Times New Roman" w:hAnsi="宋体" w:eastAsia="宋体" w:cs="宋体"/>
                <w:kern w:val="0"/>
                <w:sz w:val="22"/>
                <w:lang w:val="zh-CN" w:bidi="zh-CN"/>
              </w:rPr>
            </w:pPr>
          </w:p>
        </w:tc>
        <w:tc>
          <w:tcPr>
            <w:tcW w:w="3079" w:type="dxa"/>
          </w:tcPr>
          <w:p w14:paraId="33684E0F">
            <w:pPr>
              <w:autoSpaceDE w:val="0"/>
              <w:autoSpaceDN w:val="0"/>
              <w:jc w:val="left"/>
              <w:rPr>
                <w:rFonts w:hint="eastAsia" w:ascii="Times New Roman" w:hAnsi="宋体" w:eastAsia="宋体" w:cs="宋体"/>
                <w:kern w:val="0"/>
                <w:sz w:val="22"/>
                <w:lang w:val="zh-CN" w:bidi="zh-CN"/>
              </w:rPr>
            </w:pPr>
          </w:p>
        </w:tc>
        <w:tc>
          <w:tcPr>
            <w:tcW w:w="1046" w:type="dxa"/>
          </w:tcPr>
          <w:p w14:paraId="43875344">
            <w:pPr>
              <w:autoSpaceDE w:val="0"/>
              <w:autoSpaceDN w:val="0"/>
              <w:jc w:val="left"/>
              <w:rPr>
                <w:rFonts w:hint="eastAsia" w:ascii="Times New Roman" w:hAnsi="宋体" w:eastAsia="宋体" w:cs="宋体"/>
                <w:kern w:val="0"/>
                <w:sz w:val="22"/>
                <w:lang w:val="zh-CN" w:bidi="zh-CN"/>
              </w:rPr>
            </w:pPr>
          </w:p>
        </w:tc>
      </w:tr>
      <w:tr w14:paraId="057D83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7ABDCDE">
            <w:pPr>
              <w:autoSpaceDE w:val="0"/>
              <w:autoSpaceDN w:val="0"/>
              <w:jc w:val="left"/>
              <w:rPr>
                <w:rFonts w:hint="eastAsia" w:ascii="Times New Roman" w:hAnsi="宋体" w:eastAsia="宋体" w:cs="宋体"/>
                <w:kern w:val="0"/>
                <w:sz w:val="22"/>
                <w:lang w:val="zh-CN" w:bidi="zh-CN"/>
              </w:rPr>
            </w:pPr>
          </w:p>
        </w:tc>
        <w:tc>
          <w:tcPr>
            <w:tcW w:w="1539" w:type="dxa"/>
          </w:tcPr>
          <w:p w14:paraId="57450C36">
            <w:pPr>
              <w:autoSpaceDE w:val="0"/>
              <w:autoSpaceDN w:val="0"/>
              <w:jc w:val="left"/>
              <w:rPr>
                <w:rFonts w:hint="eastAsia" w:ascii="Times New Roman" w:hAnsi="宋体" w:eastAsia="宋体" w:cs="宋体"/>
                <w:kern w:val="0"/>
                <w:sz w:val="22"/>
                <w:lang w:val="zh-CN" w:bidi="zh-CN"/>
              </w:rPr>
            </w:pPr>
          </w:p>
        </w:tc>
        <w:tc>
          <w:tcPr>
            <w:tcW w:w="2566" w:type="dxa"/>
          </w:tcPr>
          <w:p w14:paraId="0EF24C1C">
            <w:pPr>
              <w:autoSpaceDE w:val="0"/>
              <w:autoSpaceDN w:val="0"/>
              <w:jc w:val="left"/>
              <w:rPr>
                <w:rFonts w:hint="eastAsia" w:ascii="Times New Roman" w:hAnsi="宋体" w:eastAsia="宋体" w:cs="宋体"/>
                <w:kern w:val="0"/>
                <w:sz w:val="22"/>
                <w:lang w:val="zh-CN" w:bidi="zh-CN"/>
              </w:rPr>
            </w:pPr>
          </w:p>
        </w:tc>
        <w:tc>
          <w:tcPr>
            <w:tcW w:w="3079" w:type="dxa"/>
          </w:tcPr>
          <w:p w14:paraId="005E9582">
            <w:pPr>
              <w:autoSpaceDE w:val="0"/>
              <w:autoSpaceDN w:val="0"/>
              <w:jc w:val="left"/>
              <w:rPr>
                <w:rFonts w:hint="eastAsia" w:ascii="Times New Roman" w:hAnsi="宋体" w:eastAsia="宋体" w:cs="宋体"/>
                <w:kern w:val="0"/>
                <w:sz w:val="22"/>
                <w:lang w:val="zh-CN" w:bidi="zh-CN"/>
              </w:rPr>
            </w:pPr>
          </w:p>
        </w:tc>
        <w:tc>
          <w:tcPr>
            <w:tcW w:w="1046" w:type="dxa"/>
          </w:tcPr>
          <w:p w14:paraId="479A4CB4">
            <w:pPr>
              <w:autoSpaceDE w:val="0"/>
              <w:autoSpaceDN w:val="0"/>
              <w:jc w:val="left"/>
              <w:rPr>
                <w:rFonts w:hint="eastAsia" w:ascii="Times New Roman" w:hAnsi="宋体" w:eastAsia="宋体" w:cs="宋体"/>
                <w:kern w:val="0"/>
                <w:sz w:val="22"/>
                <w:lang w:val="zh-CN" w:bidi="zh-CN"/>
              </w:rPr>
            </w:pPr>
          </w:p>
        </w:tc>
      </w:tr>
      <w:tr w14:paraId="18706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B2087F6">
            <w:pPr>
              <w:autoSpaceDE w:val="0"/>
              <w:autoSpaceDN w:val="0"/>
              <w:jc w:val="left"/>
              <w:rPr>
                <w:rFonts w:hint="eastAsia" w:ascii="Times New Roman" w:hAnsi="宋体" w:eastAsia="宋体" w:cs="宋体"/>
                <w:kern w:val="0"/>
                <w:sz w:val="22"/>
                <w:lang w:val="zh-CN" w:bidi="zh-CN"/>
              </w:rPr>
            </w:pPr>
          </w:p>
        </w:tc>
        <w:tc>
          <w:tcPr>
            <w:tcW w:w="1539" w:type="dxa"/>
          </w:tcPr>
          <w:p w14:paraId="6A0CC92C">
            <w:pPr>
              <w:autoSpaceDE w:val="0"/>
              <w:autoSpaceDN w:val="0"/>
              <w:jc w:val="left"/>
              <w:rPr>
                <w:rFonts w:hint="eastAsia" w:ascii="Times New Roman" w:hAnsi="宋体" w:eastAsia="宋体" w:cs="宋体"/>
                <w:kern w:val="0"/>
                <w:sz w:val="22"/>
                <w:lang w:val="zh-CN" w:bidi="zh-CN"/>
              </w:rPr>
            </w:pPr>
          </w:p>
        </w:tc>
        <w:tc>
          <w:tcPr>
            <w:tcW w:w="2566" w:type="dxa"/>
          </w:tcPr>
          <w:p w14:paraId="078E90E7">
            <w:pPr>
              <w:autoSpaceDE w:val="0"/>
              <w:autoSpaceDN w:val="0"/>
              <w:jc w:val="left"/>
              <w:rPr>
                <w:rFonts w:hint="eastAsia" w:ascii="Times New Roman" w:hAnsi="宋体" w:eastAsia="宋体" w:cs="宋体"/>
                <w:kern w:val="0"/>
                <w:sz w:val="22"/>
                <w:lang w:val="zh-CN" w:bidi="zh-CN"/>
              </w:rPr>
            </w:pPr>
          </w:p>
        </w:tc>
        <w:tc>
          <w:tcPr>
            <w:tcW w:w="3079" w:type="dxa"/>
          </w:tcPr>
          <w:p w14:paraId="0359A153">
            <w:pPr>
              <w:autoSpaceDE w:val="0"/>
              <w:autoSpaceDN w:val="0"/>
              <w:jc w:val="left"/>
              <w:rPr>
                <w:rFonts w:hint="eastAsia" w:ascii="Times New Roman" w:hAnsi="宋体" w:eastAsia="宋体" w:cs="宋体"/>
                <w:kern w:val="0"/>
                <w:sz w:val="22"/>
                <w:lang w:val="zh-CN" w:bidi="zh-CN"/>
              </w:rPr>
            </w:pPr>
          </w:p>
        </w:tc>
        <w:tc>
          <w:tcPr>
            <w:tcW w:w="1046" w:type="dxa"/>
          </w:tcPr>
          <w:p w14:paraId="208E917F">
            <w:pPr>
              <w:autoSpaceDE w:val="0"/>
              <w:autoSpaceDN w:val="0"/>
              <w:jc w:val="left"/>
              <w:rPr>
                <w:rFonts w:hint="eastAsia" w:ascii="Times New Roman" w:hAnsi="宋体" w:eastAsia="宋体" w:cs="宋体"/>
                <w:kern w:val="0"/>
                <w:sz w:val="22"/>
                <w:lang w:val="zh-CN" w:bidi="zh-CN"/>
              </w:rPr>
            </w:pPr>
          </w:p>
        </w:tc>
      </w:tr>
      <w:tr w14:paraId="68569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2BF6FA5F">
            <w:pPr>
              <w:autoSpaceDE w:val="0"/>
              <w:autoSpaceDN w:val="0"/>
              <w:jc w:val="left"/>
              <w:rPr>
                <w:rFonts w:hint="eastAsia" w:ascii="Times New Roman" w:hAnsi="宋体" w:eastAsia="宋体" w:cs="宋体"/>
                <w:kern w:val="0"/>
                <w:sz w:val="22"/>
                <w:lang w:val="zh-CN" w:bidi="zh-CN"/>
              </w:rPr>
            </w:pPr>
          </w:p>
        </w:tc>
        <w:tc>
          <w:tcPr>
            <w:tcW w:w="1539" w:type="dxa"/>
          </w:tcPr>
          <w:p w14:paraId="3CEFDDC9">
            <w:pPr>
              <w:autoSpaceDE w:val="0"/>
              <w:autoSpaceDN w:val="0"/>
              <w:jc w:val="left"/>
              <w:rPr>
                <w:rFonts w:hint="eastAsia" w:ascii="Times New Roman" w:hAnsi="宋体" w:eastAsia="宋体" w:cs="宋体"/>
                <w:kern w:val="0"/>
                <w:sz w:val="22"/>
                <w:lang w:val="zh-CN" w:bidi="zh-CN"/>
              </w:rPr>
            </w:pPr>
          </w:p>
        </w:tc>
        <w:tc>
          <w:tcPr>
            <w:tcW w:w="2566" w:type="dxa"/>
          </w:tcPr>
          <w:p w14:paraId="591C489A">
            <w:pPr>
              <w:autoSpaceDE w:val="0"/>
              <w:autoSpaceDN w:val="0"/>
              <w:jc w:val="left"/>
              <w:rPr>
                <w:rFonts w:hint="eastAsia" w:ascii="Times New Roman" w:hAnsi="宋体" w:eastAsia="宋体" w:cs="宋体"/>
                <w:kern w:val="0"/>
                <w:sz w:val="22"/>
                <w:lang w:val="zh-CN" w:bidi="zh-CN"/>
              </w:rPr>
            </w:pPr>
          </w:p>
        </w:tc>
        <w:tc>
          <w:tcPr>
            <w:tcW w:w="3079" w:type="dxa"/>
          </w:tcPr>
          <w:p w14:paraId="2D1A1AF5">
            <w:pPr>
              <w:autoSpaceDE w:val="0"/>
              <w:autoSpaceDN w:val="0"/>
              <w:jc w:val="left"/>
              <w:rPr>
                <w:rFonts w:hint="eastAsia" w:ascii="Times New Roman" w:hAnsi="宋体" w:eastAsia="宋体" w:cs="宋体"/>
                <w:kern w:val="0"/>
                <w:sz w:val="22"/>
                <w:lang w:val="zh-CN" w:bidi="zh-CN"/>
              </w:rPr>
            </w:pPr>
          </w:p>
        </w:tc>
        <w:tc>
          <w:tcPr>
            <w:tcW w:w="1046" w:type="dxa"/>
          </w:tcPr>
          <w:p w14:paraId="5D88E8C4">
            <w:pPr>
              <w:autoSpaceDE w:val="0"/>
              <w:autoSpaceDN w:val="0"/>
              <w:jc w:val="left"/>
              <w:rPr>
                <w:rFonts w:hint="eastAsia" w:ascii="Times New Roman" w:hAnsi="宋体" w:eastAsia="宋体" w:cs="宋体"/>
                <w:kern w:val="0"/>
                <w:sz w:val="22"/>
                <w:lang w:val="zh-CN" w:bidi="zh-CN"/>
              </w:rPr>
            </w:pPr>
          </w:p>
        </w:tc>
      </w:tr>
    </w:tbl>
    <w:p w14:paraId="5CF14E84">
      <w:pPr>
        <w:autoSpaceDE w:val="0"/>
        <w:autoSpaceDN w:val="0"/>
        <w:ind w:left="83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05E0342">
      <w:pPr>
        <w:autoSpaceDE w:val="0"/>
        <w:autoSpaceDN w:val="0"/>
        <w:spacing w:before="158"/>
        <w:ind w:left="131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1AFC4A2">
      <w:pPr>
        <w:spacing w:line="360" w:lineRule="auto"/>
        <w:rPr>
          <w:rFonts w:hint="eastAsia" w:ascii="宋体" w:hAnsi="宋体" w:eastAsia="宋体" w:cs="宋体"/>
          <w:kern w:val="0"/>
          <w:sz w:val="22"/>
          <w:lang w:val="zh-CN" w:bidi="zh-CN"/>
        </w:rPr>
      </w:pPr>
    </w:p>
    <w:p w14:paraId="6F174388">
      <w:pPr>
        <w:spacing w:line="360" w:lineRule="auto"/>
        <w:rPr>
          <w:rFonts w:hint="eastAsia" w:ascii="宋体" w:hAnsi="宋体" w:eastAsia="宋体" w:cs="宋体"/>
          <w:kern w:val="0"/>
          <w:sz w:val="22"/>
          <w:lang w:val="zh-CN" w:bidi="zh-CN"/>
        </w:rPr>
      </w:pPr>
      <w:r>
        <w:rPr>
          <w:rFonts w:hint="eastAsia" w:ascii="宋体" w:hAnsi="宋体" w:eastAsia="宋体" w:cs="宋体"/>
          <w:kern w:val="0"/>
          <w:sz w:val="22"/>
          <w:lang w:val="zh-CN" w:bidi="zh-CN"/>
        </w:rPr>
        <w:t>投标人（公章）：</w:t>
      </w:r>
    </w:p>
    <w:p w14:paraId="6A869996">
      <w:pPr>
        <w:spacing w:line="360" w:lineRule="auto"/>
        <w:rPr>
          <w:rFonts w:hint="eastAsia" w:ascii="宋体" w:hAnsi="宋体" w:eastAsia="宋体" w:cs="Times New Roman"/>
          <w:b/>
          <w:szCs w:val="24"/>
        </w:rPr>
      </w:pPr>
      <w:r>
        <w:rPr>
          <w:rFonts w:hint="eastAsia" w:ascii="宋体" w:hAnsi="宋体" w:eastAsia="宋体" w:cs="宋体"/>
          <w:kern w:val="0"/>
          <w:sz w:val="22"/>
          <w:lang w:val="zh-CN" w:bidi="zh-CN"/>
        </w:rPr>
        <w:t>日期：</w:t>
      </w:r>
    </w:p>
    <w:p w14:paraId="48BEFFF6">
      <w:pPr>
        <w:spacing w:line="360" w:lineRule="auto"/>
        <w:rPr>
          <w:rFonts w:hint="eastAsia" w:ascii="宋体" w:hAnsi="宋体" w:eastAsia="宋体" w:cs="Times New Roman"/>
          <w:b/>
          <w:szCs w:val="24"/>
        </w:rPr>
      </w:pPr>
    </w:p>
    <w:p w14:paraId="626E4C7E">
      <w:pPr>
        <w:spacing w:line="360" w:lineRule="auto"/>
        <w:rPr>
          <w:rFonts w:hint="eastAsia" w:ascii="宋体" w:hAnsi="宋体" w:eastAsia="宋体" w:cs="Times New Roman"/>
          <w:b/>
          <w:szCs w:val="24"/>
        </w:rPr>
      </w:pPr>
    </w:p>
    <w:p w14:paraId="3C796C98">
      <w:pPr>
        <w:spacing w:line="360" w:lineRule="auto"/>
        <w:rPr>
          <w:rFonts w:hint="eastAsia" w:ascii="宋体" w:hAnsi="宋体" w:eastAsia="宋体" w:cs="Times New Roman"/>
          <w:b/>
          <w:szCs w:val="24"/>
        </w:rPr>
      </w:pPr>
    </w:p>
    <w:p w14:paraId="1947CF80">
      <w:pPr>
        <w:spacing w:line="360" w:lineRule="auto"/>
        <w:rPr>
          <w:rFonts w:hint="eastAsia" w:ascii="宋体" w:hAnsi="宋体" w:eastAsia="宋体" w:cs="Times New Roman"/>
          <w:b/>
          <w:szCs w:val="24"/>
        </w:rPr>
      </w:pPr>
    </w:p>
    <w:p w14:paraId="72F01187">
      <w:pPr>
        <w:spacing w:line="360" w:lineRule="auto"/>
        <w:rPr>
          <w:rFonts w:hint="eastAsia" w:ascii="宋体" w:hAnsi="宋体" w:eastAsia="宋体" w:cs="Times New Roman"/>
          <w:b/>
          <w:szCs w:val="24"/>
        </w:rPr>
      </w:pPr>
    </w:p>
    <w:p w14:paraId="7EDD5270">
      <w:pPr>
        <w:spacing w:line="360" w:lineRule="auto"/>
        <w:rPr>
          <w:rFonts w:hint="eastAsia" w:ascii="宋体" w:hAnsi="宋体" w:eastAsia="宋体" w:cs="Times New Roman"/>
          <w:b/>
          <w:szCs w:val="24"/>
        </w:rPr>
      </w:pPr>
    </w:p>
    <w:p w14:paraId="0BB09032">
      <w:pPr>
        <w:spacing w:line="360" w:lineRule="auto"/>
        <w:rPr>
          <w:rFonts w:hint="eastAsia" w:ascii="宋体" w:hAnsi="宋体" w:eastAsia="宋体" w:cs="Times New Roman"/>
          <w:b/>
          <w:szCs w:val="24"/>
        </w:rPr>
      </w:pPr>
    </w:p>
    <w:p w14:paraId="0F988B3C">
      <w:pPr>
        <w:spacing w:line="360" w:lineRule="auto"/>
        <w:rPr>
          <w:rFonts w:hint="eastAsia" w:ascii="宋体" w:hAnsi="宋体" w:eastAsia="宋体" w:cs="Times New Roman"/>
          <w:b/>
          <w:szCs w:val="24"/>
        </w:rPr>
      </w:pPr>
    </w:p>
    <w:p w14:paraId="6A2231B2">
      <w:pPr>
        <w:spacing w:line="360" w:lineRule="auto"/>
        <w:rPr>
          <w:rFonts w:hint="eastAsia" w:ascii="宋体" w:hAnsi="宋体" w:eastAsia="宋体" w:cs="Times New Roman"/>
          <w:b/>
          <w:szCs w:val="24"/>
        </w:rPr>
      </w:pPr>
    </w:p>
    <w:p w14:paraId="3CD95CA5">
      <w:pPr>
        <w:spacing w:line="360" w:lineRule="auto"/>
        <w:rPr>
          <w:rFonts w:hint="eastAsia" w:ascii="宋体" w:hAnsi="宋体" w:eastAsia="宋体" w:cs="Times New Roman"/>
          <w:b/>
          <w:szCs w:val="24"/>
        </w:rPr>
      </w:pPr>
    </w:p>
    <w:p w14:paraId="79C3FDC1">
      <w:pPr>
        <w:spacing w:line="360" w:lineRule="auto"/>
        <w:rPr>
          <w:rFonts w:hint="eastAsia" w:ascii="宋体" w:hAnsi="宋体" w:eastAsia="宋体" w:cs="Times New Roman"/>
          <w:b/>
          <w:szCs w:val="24"/>
        </w:rPr>
      </w:pPr>
    </w:p>
    <w:p w14:paraId="6EEAD0D1">
      <w:pPr>
        <w:spacing w:line="360" w:lineRule="auto"/>
        <w:rPr>
          <w:rFonts w:hint="eastAsia" w:ascii="宋体" w:hAnsi="宋体" w:eastAsia="宋体" w:cs="Times New Roman"/>
          <w:b/>
          <w:szCs w:val="24"/>
        </w:rPr>
      </w:pPr>
    </w:p>
    <w:p w14:paraId="4159DDEF">
      <w:pPr>
        <w:spacing w:line="360" w:lineRule="auto"/>
        <w:jc w:val="center"/>
        <w:rPr>
          <w:rFonts w:hint="eastAsia" w:ascii="Times New Roman" w:hAnsi="宋体" w:eastAsia="宋体" w:cs="Times New Roman"/>
          <w:b/>
          <w:bCs/>
          <w:kern w:val="0"/>
          <w:sz w:val="24"/>
          <w:szCs w:val="24"/>
        </w:rPr>
      </w:pPr>
      <w:r>
        <w:rPr>
          <w:rFonts w:hint="eastAsia" w:ascii="Times New Roman" w:hAnsi="Times New Roman" w:eastAsia="宋体" w:cs="Times New Roman"/>
          <w:b/>
          <w:sz w:val="28"/>
          <w:szCs w:val="28"/>
        </w:rPr>
        <w:t>附件八、 实施</w:t>
      </w:r>
      <w:r>
        <w:rPr>
          <w:rFonts w:hint="eastAsia" w:ascii="宋体" w:hAnsi="宋体" w:eastAsia="宋体" w:cs="Times New Roman"/>
          <w:b/>
          <w:sz w:val="28"/>
          <w:szCs w:val="28"/>
        </w:rPr>
        <w:t>方案</w:t>
      </w:r>
      <w:r>
        <w:rPr>
          <w:rFonts w:hint="eastAsia" w:ascii="Times New Roman" w:hAnsi="Times New Roman" w:eastAsia="宋体" w:cs="Times New Roman"/>
          <w:b/>
          <w:sz w:val="28"/>
          <w:szCs w:val="28"/>
        </w:rPr>
        <w:t>（格式自拟）</w:t>
      </w:r>
    </w:p>
    <w:p w14:paraId="5A2726F6">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技术方案（格式自拟）</w:t>
      </w:r>
    </w:p>
    <w:p w14:paraId="2FA3E4FB">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售后服务方案（格式自拟）</w:t>
      </w:r>
    </w:p>
    <w:p w14:paraId="3D942BC7">
      <w:pPr>
        <w:spacing w:line="360" w:lineRule="auto"/>
        <w:jc w:val="left"/>
        <w:rPr>
          <w:rFonts w:hint="eastAsia" w:ascii="Times New Roman" w:hAnsi="宋体" w:eastAsia="宋体" w:cs="Times New Roman"/>
          <w:kern w:val="0"/>
          <w:sz w:val="24"/>
          <w:szCs w:val="24"/>
        </w:rPr>
      </w:pPr>
    </w:p>
    <w:p w14:paraId="78604CC7">
      <w:pPr>
        <w:spacing w:line="360" w:lineRule="auto"/>
        <w:rPr>
          <w:rFonts w:hint="eastAsia" w:ascii="Times New Roman" w:hAnsi="宋体" w:eastAsia="宋体" w:cs="Times New Roman"/>
          <w:b/>
          <w:bCs/>
          <w:kern w:val="0"/>
          <w:sz w:val="24"/>
          <w:szCs w:val="24"/>
        </w:rPr>
      </w:pPr>
      <w:bookmarkStart w:id="17" w:name="_Toc434218975"/>
    </w:p>
    <w:p w14:paraId="216E662E">
      <w:pPr>
        <w:adjustRightInd w:val="0"/>
        <w:snapToGrid w:val="0"/>
        <w:spacing w:line="300" w:lineRule="auto"/>
        <w:rPr>
          <w:rFonts w:hint="eastAsia" w:ascii="宋体" w:hAnsi="宋体" w:eastAsia="宋体" w:cs="Times New Roman"/>
          <w:color w:val="000000"/>
          <w:szCs w:val="24"/>
        </w:rPr>
      </w:pPr>
    </w:p>
    <w:p w14:paraId="2352BE2A">
      <w:pPr>
        <w:adjustRightInd w:val="0"/>
        <w:snapToGrid w:val="0"/>
        <w:spacing w:line="300" w:lineRule="auto"/>
        <w:jc w:val="center"/>
        <w:rPr>
          <w:rFonts w:hint="eastAsia" w:ascii="宋体" w:hAnsi="宋体" w:eastAsia="宋体" w:cs="Times New Roman"/>
          <w:color w:val="000000"/>
          <w:szCs w:val="24"/>
        </w:rPr>
      </w:pPr>
      <w:r>
        <w:rPr>
          <w:rFonts w:hint="eastAsia" w:ascii="宋体" w:hAnsi="宋体" w:eastAsia="宋体" w:cs="Times New Roman"/>
          <w:b/>
          <w:color w:val="000000"/>
          <w:sz w:val="28"/>
          <w:szCs w:val="36"/>
        </w:rPr>
        <w:t>附件九、无重大违法记录声明</w:t>
      </w:r>
    </w:p>
    <w:p w14:paraId="385627BA">
      <w:pPr>
        <w:adjustRightInd w:val="0"/>
        <w:snapToGrid w:val="0"/>
        <w:spacing w:line="300" w:lineRule="auto"/>
        <w:rPr>
          <w:rFonts w:hint="eastAsia" w:ascii="宋体" w:hAnsi="宋体" w:eastAsia="宋体" w:cs="Times New Roman"/>
          <w:color w:val="000000"/>
          <w:szCs w:val="24"/>
        </w:rPr>
      </w:pPr>
    </w:p>
    <w:p w14:paraId="5C3ED592">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71943B6C">
      <w:pPr>
        <w:adjustRightInd w:val="0"/>
        <w:snapToGrid w:val="0"/>
        <w:spacing w:line="300" w:lineRule="auto"/>
        <w:rPr>
          <w:rFonts w:hint="eastAsia" w:ascii="宋体" w:hAnsi="宋体" w:eastAsia="宋体" w:cs="宋体"/>
          <w:kern w:val="0"/>
          <w:sz w:val="24"/>
          <w:szCs w:val="24"/>
          <w:lang w:val="zh-CN" w:bidi="zh-CN"/>
        </w:rPr>
      </w:pPr>
    </w:p>
    <w:p w14:paraId="5EB881F6">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我单位（投标人名称）宣布声明和承诺如下：</w:t>
      </w:r>
    </w:p>
    <w:p w14:paraId="675EB193">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我单位参加本次采购活动前3年内在经营活动中没有重大违法记录，且不是失信被执行人、重大税收违法案件当事人名单的投标人。</w:t>
      </w:r>
    </w:p>
    <w:p w14:paraId="36CF543B">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（说明：本项目所称重大违法记录，是指投标人因违法经营受到刑事处罚或者责令停产停业、吊销许可证或者执照、较大数额罚款等行政处罚。）</w:t>
      </w:r>
    </w:p>
    <w:p w14:paraId="4ADF30A0">
      <w:pPr>
        <w:adjustRightInd w:val="0"/>
        <w:snapToGrid w:val="0"/>
        <w:spacing w:line="300" w:lineRule="auto"/>
        <w:rPr>
          <w:rFonts w:hint="eastAsia" w:ascii="宋体" w:hAnsi="宋体" w:eastAsia="宋体" w:cs="宋体"/>
          <w:kern w:val="0"/>
          <w:sz w:val="24"/>
          <w:szCs w:val="24"/>
          <w:lang w:val="zh-CN" w:bidi="zh-CN"/>
        </w:rPr>
      </w:pPr>
    </w:p>
    <w:p w14:paraId="6F59581E">
      <w:pPr>
        <w:adjustRightInd w:val="0"/>
        <w:snapToGrid w:val="0"/>
        <w:spacing w:line="300" w:lineRule="auto"/>
        <w:rPr>
          <w:rFonts w:hint="eastAsia" w:ascii="宋体" w:hAnsi="宋体" w:eastAsia="宋体" w:cs="宋体"/>
          <w:kern w:val="0"/>
          <w:sz w:val="24"/>
          <w:szCs w:val="24"/>
          <w:lang w:val="zh-CN" w:bidi="zh-CN"/>
        </w:rPr>
      </w:pPr>
    </w:p>
    <w:p w14:paraId="5196699D">
      <w:pPr>
        <w:adjustRightInd w:val="0"/>
        <w:snapToGrid w:val="0"/>
        <w:spacing w:line="300" w:lineRule="auto"/>
        <w:rPr>
          <w:rFonts w:hint="eastAsia" w:ascii="宋体" w:hAnsi="宋体" w:eastAsia="宋体" w:cs="宋体"/>
          <w:kern w:val="0"/>
          <w:sz w:val="24"/>
          <w:szCs w:val="24"/>
          <w:lang w:val="zh-CN" w:bidi="zh-CN"/>
        </w:rPr>
      </w:pPr>
    </w:p>
    <w:p w14:paraId="125E8979">
      <w:pPr>
        <w:adjustRightInd w:val="0"/>
        <w:snapToGrid w:val="0"/>
        <w:spacing w:line="300" w:lineRule="auto"/>
        <w:ind w:firstLine="5040" w:firstLineChars="21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声明人：（公章）</w:t>
      </w:r>
    </w:p>
    <w:p w14:paraId="4FCCADD7">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 xml:space="preserve">    年   月</w:t>
      </w:r>
    </w:p>
    <w:p w14:paraId="7A35E47F">
      <w:pPr>
        <w:adjustRightInd w:val="0"/>
        <w:snapToGrid w:val="0"/>
        <w:spacing w:line="300" w:lineRule="auto"/>
        <w:rPr>
          <w:rFonts w:hint="eastAsia" w:ascii="宋体" w:hAnsi="宋体" w:eastAsia="宋体" w:cs="宋体"/>
          <w:kern w:val="0"/>
          <w:sz w:val="24"/>
          <w:szCs w:val="24"/>
          <w:lang w:val="zh-CN" w:bidi="zh-CN"/>
        </w:rPr>
      </w:pPr>
    </w:p>
    <w:p w14:paraId="008BE2B6">
      <w:pPr>
        <w:adjustRightInd w:val="0"/>
        <w:snapToGrid w:val="0"/>
        <w:spacing w:line="300" w:lineRule="auto"/>
        <w:rPr>
          <w:rFonts w:hint="eastAsia" w:ascii="宋体" w:hAnsi="宋体" w:eastAsia="宋体" w:cs="宋体"/>
          <w:kern w:val="0"/>
          <w:sz w:val="24"/>
          <w:szCs w:val="24"/>
          <w:lang w:val="zh-CN" w:bidi="zh-CN"/>
        </w:rPr>
      </w:pPr>
    </w:p>
    <w:p w14:paraId="11851C4A">
      <w:pPr>
        <w:adjustRightInd w:val="0"/>
        <w:snapToGrid w:val="0"/>
        <w:spacing w:line="300" w:lineRule="auto"/>
        <w:rPr>
          <w:rFonts w:hint="eastAsia" w:ascii="宋体" w:hAnsi="宋体" w:eastAsia="宋体" w:cs="宋体"/>
          <w:kern w:val="0"/>
          <w:sz w:val="24"/>
          <w:szCs w:val="24"/>
          <w:lang w:val="zh-CN" w:bidi="zh-CN"/>
        </w:rPr>
      </w:pPr>
    </w:p>
    <w:p w14:paraId="3A9AF0E4">
      <w:pPr>
        <w:adjustRightInd w:val="0"/>
        <w:snapToGrid w:val="0"/>
        <w:spacing w:line="300" w:lineRule="auto"/>
        <w:rPr>
          <w:rFonts w:hint="eastAsia" w:ascii="宋体" w:hAnsi="宋体" w:eastAsia="宋体" w:cs="宋体"/>
          <w:kern w:val="0"/>
          <w:sz w:val="24"/>
          <w:szCs w:val="24"/>
          <w:lang w:val="zh-CN" w:bidi="zh-CN"/>
        </w:rPr>
      </w:pPr>
    </w:p>
    <w:p w14:paraId="65182E09">
      <w:pPr>
        <w:adjustRightInd w:val="0"/>
        <w:snapToGrid w:val="0"/>
        <w:spacing w:line="300" w:lineRule="auto"/>
        <w:rPr>
          <w:rFonts w:hint="eastAsia" w:ascii="宋体" w:hAnsi="宋体" w:eastAsia="宋体" w:cs="宋体"/>
          <w:kern w:val="0"/>
          <w:sz w:val="24"/>
          <w:szCs w:val="24"/>
          <w:lang w:val="zh-CN" w:bidi="zh-CN"/>
        </w:rPr>
      </w:pPr>
    </w:p>
    <w:p w14:paraId="6BAAF146">
      <w:pPr>
        <w:adjustRightInd w:val="0"/>
        <w:snapToGrid w:val="0"/>
        <w:spacing w:line="300" w:lineRule="auto"/>
        <w:rPr>
          <w:rFonts w:hint="eastAsia" w:ascii="宋体" w:hAnsi="宋体" w:eastAsia="宋体" w:cs="宋体"/>
          <w:kern w:val="0"/>
          <w:sz w:val="24"/>
          <w:szCs w:val="24"/>
          <w:lang w:val="zh-CN" w:bidi="zh-CN"/>
        </w:rPr>
      </w:pPr>
    </w:p>
    <w:p w14:paraId="17F6FAC0">
      <w:pPr>
        <w:adjustRightInd w:val="0"/>
        <w:snapToGrid w:val="0"/>
        <w:spacing w:line="300" w:lineRule="auto"/>
        <w:rPr>
          <w:rFonts w:hint="eastAsia" w:ascii="宋体" w:hAnsi="宋体" w:eastAsia="宋体" w:cs="宋体"/>
          <w:kern w:val="0"/>
          <w:sz w:val="24"/>
          <w:szCs w:val="24"/>
          <w:lang w:val="zh-CN" w:bidi="zh-CN"/>
        </w:rPr>
      </w:pPr>
    </w:p>
    <w:p w14:paraId="78FE5603">
      <w:pPr>
        <w:adjustRightInd w:val="0"/>
        <w:snapToGrid w:val="0"/>
        <w:spacing w:line="300" w:lineRule="auto"/>
        <w:rPr>
          <w:rFonts w:hint="eastAsia" w:ascii="宋体" w:hAnsi="宋体" w:eastAsia="宋体" w:cs="宋体"/>
          <w:kern w:val="0"/>
          <w:sz w:val="24"/>
          <w:szCs w:val="24"/>
          <w:lang w:val="zh-CN" w:bidi="zh-CN"/>
        </w:rPr>
      </w:pPr>
    </w:p>
    <w:p w14:paraId="5036AF1E">
      <w:pPr>
        <w:adjustRightInd w:val="0"/>
        <w:snapToGrid w:val="0"/>
        <w:spacing w:line="300" w:lineRule="auto"/>
        <w:rPr>
          <w:rFonts w:hint="eastAsia" w:ascii="宋体" w:hAnsi="宋体" w:eastAsia="宋体" w:cs="宋体"/>
          <w:kern w:val="0"/>
          <w:sz w:val="24"/>
          <w:szCs w:val="24"/>
          <w:lang w:val="zh-CN" w:bidi="zh-CN"/>
        </w:rPr>
      </w:pPr>
    </w:p>
    <w:p w14:paraId="5CE8FFD1">
      <w:pPr>
        <w:adjustRightInd w:val="0"/>
        <w:snapToGrid w:val="0"/>
        <w:spacing w:line="300" w:lineRule="auto"/>
        <w:rPr>
          <w:rFonts w:hint="eastAsia" w:ascii="宋体" w:hAnsi="宋体" w:eastAsia="宋体" w:cs="宋体"/>
          <w:kern w:val="0"/>
          <w:sz w:val="24"/>
          <w:szCs w:val="24"/>
          <w:lang w:val="zh-CN" w:bidi="zh-CN"/>
        </w:rPr>
      </w:pPr>
    </w:p>
    <w:p w14:paraId="71AAE0AC">
      <w:pPr>
        <w:adjustRightInd w:val="0"/>
        <w:snapToGrid w:val="0"/>
        <w:spacing w:line="300" w:lineRule="auto"/>
        <w:rPr>
          <w:rFonts w:hint="eastAsia" w:ascii="宋体" w:hAnsi="宋体" w:eastAsia="宋体" w:cs="宋体"/>
          <w:kern w:val="0"/>
          <w:sz w:val="24"/>
          <w:szCs w:val="24"/>
          <w:lang w:val="zh-CN" w:bidi="zh-CN"/>
        </w:rPr>
      </w:pPr>
    </w:p>
    <w:p w14:paraId="437A07F7">
      <w:pPr>
        <w:adjustRightInd w:val="0"/>
        <w:snapToGrid w:val="0"/>
        <w:spacing w:line="300" w:lineRule="auto"/>
        <w:rPr>
          <w:rFonts w:hint="eastAsia" w:ascii="宋体" w:hAnsi="宋体" w:eastAsia="宋体" w:cs="宋体"/>
          <w:kern w:val="0"/>
          <w:sz w:val="24"/>
          <w:szCs w:val="24"/>
          <w:lang w:val="zh-CN" w:bidi="zh-CN"/>
        </w:rPr>
      </w:pPr>
    </w:p>
    <w:p w14:paraId="3B9074B5">
      <w:pPr>
        <w:adjustRightInd w:val="0"/>
        <w:snapToGrid w:val="0"/>
        <w:spacing w:line="300" w:lineRule="auto"/>
        <w:rPr>
          <w:rFonts w:hint="eastAsia" w:ascii="宋体" w:hAnsi="宋体" w:eastAsia="宋体" w:cs="宋体"/>
          <w:kern w:val="0"/>
          <w:sz w:val="24"/>
          <w:szCs w:val="24"/>
          <w:lang w:val="zh-CN" w:bidi="zh-CN"/>
        </w:rPr>
      </w:pPr>
    </w:p>
    <w:p w14:paraId="2FDA25C3">
      <w:pPr>
        <w:adjustRightInd w:val="0"/>
        <w:snapToGrid w:val="0"/>
        <w:spacing w:line="300" w:lineRule="auto"/>
        <w:rPr>
          <w:rFonts w:hint="eastAsia" w:ascii="宋体" w:hAnsi="宋体" w:eastAsia="宋体" w:cs="宋体"/>
          <w:kern w:val="0"/>
          <w:sz w:val="24"/>
          <w:szCs w:val="24"/>
          <w:lang w:val="zh-CN" w:bidi="zh-CN"/>
        </w:rPr>
      </w:pPr>
    </w:p>
    <w:p w14:paraId="5EE773CB">
      <w:pPr>
        <w:adjustRightInd w:val="0"/>
        <w:snapToGrid w:val="0"/>
        <w:spacing w:line="300" w:lineRule="auto"/>
        <w:rPr>
          <w:rFonts w:hint="eastAsia" w:ascii="宋体" w:hAnsi="宋体" w:eastAsia="宋体" w:cs="宋体"/>
          <w:kern w:val="0"/>
          <w:sz w:val="24"/>
          <w:szCs w:val="24"/>
          <w:lang w:val="zh-CN" w:bidi="zh-CN"/>
        </w:rPr>
      </w:pPr>
    </w:p>
    <w:p w14:paraId="7052174C">
      <w:pPr>
        <w:adjustRightInd w:val="0"/>
        <w:snapToGrid w:val="0"/>
        <w:spacing w:line="300" w:lineRule="auto"/>
        <w:rPr>
          <w:rFonts w:hint="eastAsia" w:ascii="宋体" w:hAnsi="宋体" w:eastAsia="宋体" w:cs="宋体"/>
          <w:kern w:val="0"/>
          <w:sz w:val="24"/>
          <w:szCs w:val="24"/>
          <w:lang w:val="zh-CN" w:bidi="zh-CN"/>
        </w:rPr>
      </w:pPr>
    </w:p>
    <w:p w14:paraId="1854B5AC">
      <w:pPr>
        <w:adjustRightInd w:val="0"/>
        <w:snapToGrid w:val="0"/>
        <w:spacing w:line="300" w:lineRule="auto"/>
        <w:jc w:val="left"/>
        <w:rPr>
          <w:rFonts w:hint="eastAsia" w:ascii="宋体" w:hAnsi="宋体" w:eastAsia="宋体" w:cs="Times New Roman"/>
          <w:b/>
          <w:color w:val="000000"/>
          <w:sz w:val="28"/>
          <w:szCs w:val="36"/>
        </w:rPr>
      </w:pPr>
      <w:r>
        <w:rPr>
          <w:rFonts w:hint="eastAsia" w:ascii="宋体" w:hAnsi="宋体" w:eastAsia="宋体" w:cs="Times New Roman"/>
          <w:b/>
          <w:color w:val="000000"/>
          <w:sz w:val="28"/>
          <w:szCs w:val="36"/>
        </w:rPr>
        <w:t>附件十、</w:t>
      </w:r>
      <w:bookmarkStart w:id="18" w:name="_Hlk117593844"/>
      <w:r>
        <w:rPr>
          <w:rFonts w:hint="eastAsia" w:ascii="宋体" w:hAnsi="宋体" w:eastAsia="宋体" w:cs="Times New Roman"/>
          <w:b/>
          <w:color w:val="000000"/>
          <w:sz w:val="28"/>
          <w:szCs w:val="36"/>
        </w:rPr>
        <w:t>具备履行合同所必需的设备和专业技术能力的声明</w:t>
      </w:r>
      <w:bookmarkEnd w:id="18"/>
    </w:p>
    <w:p w14:paraId="04CA5317">
      <w:pPr>
        <w:adjustRightInd w:val="0"/>
        <w:snapToGrid w:val="0"/>
        <w:spacing w:line="300" w:lineRule="auto"/>
        <w:rPr>
          <w:rFonts w:hint="eastAsia" w:ascii="宋体" w:hAnsi="宋体" w:eastAsia="宋体" w:cs="宋体"/>
          <w:kern w:val="0"/>
          <w:sz w:val="24"/>
          <w:szCs w:val="24"/>
          <w:lang w:val="zh-CN" w:bidi="zh-CN"/>
        </w:rPr>
      </w:pPr>
    </w:p>
    <w:p w14:paraId="60E25765">
      <w:pPr>
        <w:adjustRightInd w:val="0"/>
        <w:snapToGrid w:val="0"/>
        <w:spacing w:line="300" w:lineRule="auto"/>
        <w:jc w:val="center"/>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具备履行合同所必需的设备和专业技术能力的声明</w:t>
      </w:r>
    </w:p>
    <w:p w14:paraId="663FA6D0">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32EF73B2">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w:t>
      </w:r>
      <w:r>
        <w:rPr>
          <w:rFonts w:ascii="宋体" w:hAnsi="宋体" w:eastAsia="宋体" w:cs="宋体"/>
          <w:kern w:val="0"/>
          <w:sz w:val="24"/>
          <w:szCs w:val="24"/>
          <w:lang w:val="zh-CN" w:bidi="zh-CN"/>
        </w:rPr>
        <w:t xml:space="preserve">                             （</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名称）郑重声明：我公司具备履行本项采购合同所必需的设备和专业技术能力，为履行本项采购合同我单位具备如下主要设备和主要专业技术能力：</w:t>
      </w:r>
    </w:p>
    <w:p w14:paraId="2736505A">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主要设备有：</w:t>
      </w:r>
      <w:r>
        <w:rPr>
          <w:rFonts w:ascii="宋体" w:hAnsi="宋体" w:eastAsia="宋体" w:cs="宋体"/>
          <w:kern w:val="0"/>
          <w:sz w:val="24"/>
          <w:szCs w:val="24"/>
          <w:lang w:val="zh-CN" w:bidi="zh-CN"/>
        </w:rPr>
        <w:t xml:space="preserve">                          。( 若有 )</w:t>
      </w:r>
    </w:p>
    <w:p w14:paraId="69B55A9E">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主要专业技术能力有：</w:t>
      </w:r>
      <w:r>
        <w:rPr>
          <w:rFonts w:ascii="宋体" w:hAnsi="宋体" w:eastAsia="宋体" w:cs="宋体"/>
          <w:kern w:val="0"/>
          <w:sz w:val="24"/>
          <w:szCs w:val="24"/>
          <w:lang w:val="zh-CN" w:bidi="zh-CN"/>
        </w:rPr>
        <w:t xml:space="preserve">                  。( 若有 )</w:t>
      </w:r>
    </w:p>
    <w:p w14:paraId="6D625C00">
      <w:pPr>
        <w:adjustRightInd w:val="0"/>
        <w:snapToGrid w:val="0"/>
        <w:spacing w:line="300" w:lineRule="auto"/>
        <w:rPr>
          <w:rFonts w:hint="eastAsia" w:ascii="宋体" w:hAnsi="宋体" w:eastAsia="宋体" w:cs="宋体"/>
          <w:kern w:val="0"/>
          <w:sz w:val="24"/>
          <w:szCs w:val="24"/>
          <w:lang w:val="zh-CN" w:bidi="zh-CN"/>
        </w:rPr>
      </w:pPr>
    </w:p>
    <w:p w14:paraId="71706ED2">
      <w:pPr>
        <w:adjustRightInd w:val="0"/>
        <w:snapToGrid w:val="0"/>
        <w:spacing w:line="300" w:lineRule="auto"/>
        <w:rPr>
          <w:rFonts w:hint="eastAsia" w:ascii="宋体" w:hAnsi="宋体" w:eastAsia="宋体" w:cs="宋体"/>
          <w:kern w:val="0"/>
          <w:sz w:val="24"/>
          <w:szCs w:val="24"/>
          <w:lang w:val="zh-CN" w:bidi="zh-CN"/>
        </w:rPr>
      </w:pPr>
    </w:p>
    <w:p w14:paraId="01587431">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声明人：（公章）</w:t>
      </w:r>
    </w:p>
    <w:p w14:paraId="396E1FB1">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______年    月    日</w:t>
      </w:r>
    </w:p>
    <w:p w14:paraId="50C2A35D">
      <w:pPr>
        <w:adjustRightInd w:val="0"/>
        <w:snapToGrid w:val="0"/>
        <w:spacing w:line="300" w:lineRule="auto"/>
        <w:rPr>
          <w:rFonts w:hint="eastAsia" w:ascii="宋体" w:hAnsi="宋体" w:eastAsia="宋体" w:cs="Times New Roman"/>
          <w:color w:val="000000"/>
          <w:szCs w:val="24"/>
        </w:rPr>
      </w:pPr>
    </w:p>
    <w:bookmarkEnd w:id="15"/>
    <w:bookmarkEnd w:id="17"/>
    <w:p w14:paraId="560218D3">
      <w:pPr>
        <w:rPr>
          <w:rFonts w:hint="eastAsia"/>
        </w:rPr>
      </w:pPr>
    </w:p>
    <w:p w14:paraId="297F4207">
      <w:pPr>
        <w:rPr>
          <w:rFonts w:hint="eastAsia"/>
        </w:rPr>
      </w:pPr>
    </w:p>
    <w:p w14:paraId="1214C530">
      <w:pPr>
        <w:rPr>
          <w:rFonts w:hint="eastAsia"/>
        </w:rPr>
      </w:pPr>
    </w:p>
    <w:p w14:paraId="41DD7038">
      <w:pPr>
        <w:rPr>
          <w:rFonts w:hint="eastAsia"/>
        </w:rPr>
      </w:pPr>
    </w:p>
    <w:p w14:paraId="6726ED82">
      <w:pPr>
        <w:rPr>
          <w:rFonts w:hint="eastAsia"/>
        </w:rPr>
      </w:pPr>
    </w:p>
    <w:p w14:paraId="5B7273E9">
      <w:pPr>
        <w:spacing w:line="360" w:lineRule="auto"/>
        <w:rPr>
          <w:rFonts w:ascii="Times New Roman" w:hAnsi="Times New Roman" w:eastAsia="宋体" w:cs="Times New Roman"/>
          <w:b/>
          <w:sz w:val="28"/>
          <w:szCs w:val="28"/>
        </w:rPr>
      </w:pPr>
    </w:p>
    <w:p w14:paraId="50D589C2">
      <w:pPr>
        <w:spacing w:line="360" w:lineRule="auto"/>
        <w:rPr>
          <w:rFonts w:ascii="Times New Roman" w:hAnsi="Times New Roman" w:eastAsia="宋体" w:cs="Times New Roman"/>
          <w:b/>
          <w:sz w:val="28"/>
          <w:szCs w:val="28"/>
        </w:rPr>
      </w:pPr>
    </w:p>
    <w:p w14:paraId="2B12C8B2">
      <w:pPr>
        <w:spacing w:line="360" w:lineRule="auto"/>
        <w:rPr>
          <w:rFonts w:ascii="Times New Roman" w:hAnsi="Times New Roman" w:eastAsia="宋体" w:cs="Times New Roman"/>
          <w:b/>
          <w:sz w:val="28"/>
          <w:szCs w:val="28"/>
        </w:rPr>
      </w:pPr>
      <w:r>
        <w:rPr>
          <w:rFonts w:hint="eastAsia" w:ascii="Times New Roman" w:hAnsi="Times New Roman" w:eastAsia="宋体" w:cs="Times New Roman"/>
          <w:b/>
          <w:sz w:val="28"/>
          <w:szCs w:val="28"/>
        </w:rPr>
        <w:t>附件十一：投标人认为需提供的其他资料（格式自拟）</w:t>
      </w:r>
    </w:p>
    <w:p w14:paraId="0AAA19C0">
      <w:pPr>
        <w:rPr>
          <w:rFonts w:hint="eastAsia"/>
        </w:rPr>
      </w:pPr>
    </w:p>
    <w:sectPr>
      <w:pgSz w:w="11906" w:h="16838"/>
      <w:pgMar w:top="1440" w:right="1803" w:bottom="1440" w:left="1803"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Arial Rounded MT Bold">
    <w:panose1 w:val="020F0704030504030204"/>
    <w:charset w:val="00"/>
    <w:family w:val="swiss"/>
    <w:pitch w:val="default"/>
    <w:sig w:usb0="00000003" w:usb1="00000000" w:usb2="00000000" w:usb3="00000000" w:csb0="20000001" w:csb1="00000000"/>
  </w:font>
  <w:font w:name="文鼎大标宋简">
    <w:altName w:val="微软雅黑"/>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金山简魏碑">
    <w:altName w:val="宋体"/>
    <w:panose1 w:val="00000000000000000000"/>
    <w:charset w:val="86"/>
    <w:family w:val="auto"/>
    <w:pitch w:val="default"/>
    <w:sig w:usb0="00000000" w:usb1="00000000" w:usb2="00000010" w:usb3="00000000" w:csb0="00040000" w:csb1="00000000"/>
  </w:font>
  <w:font w:name="monospace">
    <w:altName w:val="HP Simplified Hans"/>
    <w:panose1 w:val="00000000000000000000"/>
    <w:charset w:val="00"/>
    <w:family w:val="auto"/>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文鼎CS中宋">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NLe">
    <w:altName w:val="Segoe Print"/>
    <w:panose1 w:val="00000000000000000000"/>
    <w:charset w:val="00"/>
    <w:family w:val="auto"/>
    <w:pitch w:val="default"/>
    <w:sig w:usb0="00000000" w:usb1="00000000" w:usb2="00000000" w:usb3="00000000" w:csb0="00000000" w:csb1="00000000"/>
  </w:font>
  <w:font w:name="7BKN_gb2312">
    <w:altName w:val="HP Simplified Hans"/>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NDVPKN">
    <w:altName w:val="HP Simplified Hans"/>
    <w:panose1 w:val="00000000000000000000"/>
    <w:charset w:val="00"/>
    <w:family w:val="roman"/>
    <w:pitch w:val="default"/>
    <w:sig w:usb0="00000000" w:usb1="00000000" w:usb2="00000000" w:usb3="00000000" w:csb0="00040001" w:csb1="00000000"/>
  </w:font>
  <w:font w:name="..ì.">
    <w:altName w:val="宋体"/>
    <w:panose1 w:val="00000000000000000000"/>
    <w:charset w:val="86"/>
    <w:family w:val="auto"/>
    <w:pitch w:val="default"/>
    <w:sig w:usb0="00000000" w:usb1="00000000" w:usb2="00000010" w:usb3="00000000" w:csb0="00040000" w:csb1="00000000"/>
  </w:font>
  <w:font w:name=":ZLe">
    <w:altName w:val="HP Simplified Hans"/>
    <w:panose1 w:val="00000000000000000000"/>
    <w:charset w:val="00"/>
    <w:family w:val="roman"/>
    <w:pitch w:val="default"/>
    <w:sig w:usb0="00000000" w:usb1="00000000" w:usb2="00000000" w:usb3="00000000" w:csb0="00040001" w:csb1="00000000"/>
  </w:font>
  <w:font w:name="*ndvpkn">
    <w:altName w:val="HP Simplified Hans"/>
    <w:panose1 w:val="00000000000000000000"/>
    <w:charset w:val="00"/>
    <w:family w:val="auto"/>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ヒラギノ角ゴ Pro W3">
    <w:altName w:val="Yu Gothic"/>
    <w:panose1 w:val="00000000000000000000"/>
    <w:charset w:val="80"/>
    <w:family w:val="auto"/>
    <w:pitch w:val="default"/>
    <w:sig w:usb0="00000000" w:usb1="00000000" w:usb2="00000012" w:usb3="00000000" w:csb0="0002000D" w:csb1="00000000"/>
  </w:font>
  <w:font w:name="方正姚体">
    <w:panose1 w:val="02010601030101010101"/>
    <w:charset w:val="86"/>
    <w:family w:val="auto"/>
    <w:pitch w:val="default"/>
    <w:sig w:usb0="00000003"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HP Simplified Hans">
    <w:panose1 w:val="020B0500000000000000"/>
    <w:charset w:val="86"/>
    <w:family w:val="auto"/>
    <w:pitch w:val="default"/>
    <w:sig w:usb0="A00002BF" w:usb1="38CF7CFA" w:usb2="00000016" w:usb3="00000000" w:csb0="2004011D" w:csb1="41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D9E13BB">
        <w:pPr>
          <w:pStyle w:val="34"/>
          <w:jc w:val="center"/>
          <w:rPr>
            <w:rFonts w:hint="eastAsia"/>
          </w:rP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6CF9">
    <w:pPr>
      <w:pStyle w:val="34"/>
      <w:framePr w:wrap="around" w:vAnchor="text" w:hAnchor="margin" w:xAlign="center" w:y="1"/>
      <w:ind w:firstLine="360"/>
      <w:rPr>
        <w:rStyle w:val="62"/>
        <w:rFonts w:hint="eastAsia"/>
      </w:rPr>
    </w:pPr>
    <w:r>
      <w:fldChar w:fldCharType="begin"/>
    </w:r>
    <w:r>
      <w:rPr>
        <w:rStyle w:val="62"/>
      </w:rPr>
      <w:instrText xml:space="preserve">PAGE  </w:instrText>
    </w:r>
    <w:r>
      <w:fldChar w:fldCharType="end"/>
    </w:r>
  </w:p>
  <w:p w14:paraId="070D51D8">
    <w:pPr>
      <w:pStyle w:val="34"/>
      <w:ind w:firstLine="360"/>
      <w:rPr>
        <w:rFonts w:hint="eastAsia"/>
      </w:rPr>
    </w:pPr>
  </w:p>
  <w:p w14:paraId="25098697">
    <w:pPr>
      <w:ind w:firstLine="48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FEDD6">
    <w:pPr>
      <w:pStyle w:val="34"/>
      <w:jc w:val="center"/>
      <w:rPr>
        <w:rFonts w:hint="eastAsia"/>
      </w:rPr>
    </w:pPr>
  </w:p>
  <w:p w14:paraId="7BC402C8">
    <w:pPr>
      <w:pStyle w:val="34"/>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6258365"/>
    </w:sdtPr>
    <w:sdtContent>
      <w:p w14:paraId="37AF39A3">
        <w:pPr>
          <w:pStyle w:val="34"/>
          <w:jc w:val="center"/>
          <w:rPr>
            <w:rFonts w:hint="eastAsia"/>
          </w:rPr>
        </w:pPr>
        <w:r>
          <w:fldChar w:fldCharType="begin"/>
        </w:r>
        <w:r>
          <w:instrText xml:space="preserve">PAGE   \* MERGEFORMAT</w:instrText>
        </w:r>
        <w:r>
          <w:fldChar w:fldCharType="separate"/>
        </w:r>
        <w:r>
          <w:rPr>
            <w:lang w:val="zh-CN"/>
          </w:rPr>
          <w:t>25</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5663"/>
    </w:sdtPr>
    <w:sdtContent>
      <w:p w14:paraId="2D42D84A">
        <w:pPr>
          <w:pStyle w:val="34"/>
          <w:jc w:val="center"/>
          <w:rPr>
            <w:rFonts w:hint="eastAsia"/>
          </w:rPr>
        </w:pPr>
        <w:r>
          <w:fldChar w:fldCharType="begin"/>
        </w:r>
        <w:r>
          <w:instrText xml:space="preserve">PAGE   \* MERGEFORMAT</w:instrText>
        </w:r>
        <w:r>
          <w:fldChar w:fldCharType="separate"/>
        </w:r>
        <w:r>
          <w:rPr>
            <w:lang w:val="zh-CN"/>
          </w:rPr>
          <w:t>32</w:t>
        </w:r>
        <w:r>
          <w:fldChar w:fldCharType="end"/>
        </w:r>
      </w:p>
    </w:sdtContent>
  </w:sdt>
  <w:p w14:paraId="7870534A">
    <w:pPr>
      <w:pStyle w:val="23"/>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75F72">
    <w:pPr>
      <w:pStyle w:val="3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0FFC6">
    <w:pPr>
      <w:pStyle w:val="35"/>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20658"/>
    <w:multiLevelType w:val="multilevel"/>
    <w:tmpl w:val="20620658"/>
    <w:lvl w:ilvl="0" w:tentative="0">
      <w:start w:val="1"/>
      <w:numFmt w:val="bullet"/>
      <w:pStyle w:val="49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38251C05"/>
    <w:multiLevelType w:val="multilevel"/>
    <w:tmpl w:val="38251C05"/>
    <w:lvl w:ilvl="0" w:tentative="0">
      <w:start w:val="1"/>
      <w:numFmt w:val="japaneseCounting"/>
      <w:pStyle w:val="117"/>
      <w:lvlText w:val="%1、"/>
      <w:lvlJc w:val="left"/>
      <w:pPr>
        <w:tabs>
          <w:tab w:val="left" w:pos="1655"/>
        </w:tabs>
        <w:ind w:left="1655" w:hanging="1095"/>
      </w:pPr>
      <w:rPr>
        <w:rFonts w:hint="eastAsia"/>
      </w:rPr>
    </w:lvl>
    <w:lvl w:ilvl="1" w:tentative="0">
      <w:start w:val="1"/>
      <w:numFmt w:val="decimal"/>
      <w:pStyle w:val="124"/>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
    <w:nsid w:val="44121AA6"/>
    <w:multiLevelType w:val="multilevel"/>
    <w:tmpl w:val="44121AA6"/>
    <w:lvl w:ilvl="0" w:tentative="0">
      <w:start w:val="1"/>
      <w:numFmt w:val="decimal"/>
      <w:pStyle w:val="479"/>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4CA75A52"/>
    <w:multiLevelType w:val="multilevel"/>
    <w:tmpl w:val="4CA75A52"/>
    <w:lvl w:ilvl="0" w:tentative="0">
      <w:start w:val="1"/>
      <w:numFmt w:val="decimal"/>
      <w:pStyle w:val="545"/>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4">
    <w:nsid w:val="51002338"/>
    <w:multiLevelType w:val="singleLevel"/>
    <w:tmpl w:val="51002338"/>
    <w:lvl w:ilvl="0" w:tentative="0">
      <w:start w:val="1"/>
      <w:numFmt w:val="bullet"/>
      <w:pStyle w:val="477"/>
      <w:lvlText w:val=""/>
      <w:lvlJc w:val="left"/>
      <w:pPr>
        <w:tabs>
          <w:tab w:val="left" w:pos="360"/>
        </w:tabs>
        <w:ind w:left="360" w:hanging="360"/>
      </w:pPr>
      <w:rPr>
        <w:rFonts w:hint="default" w:ascii="Symbol" w:hAnsi="Symbol"/>
      </w:rPr>
    </w:lvl>
  </w:abstractNum>
  <w:abstractNum w:abstractNumId="5">
    <w:nsid w:val="581D2BC5"/>
    <w:multiLevelType w:val="multilevel"/>
    <w:tmpl w:val="581D2BC5"/>
    <w:lvl w:ilvl="0" w:tentative="0">
      <w:start w:val="1"/>
      <w:numFmt w:val="decimal"/>
      <w:pStyle w:val="481"/>
      <w:lvlText w:val="%1"/>
      <w:lvlJc w:val="left"/>
      <w:pPr>
        <w:tabs>
          <w:tab w:val="left" w:pos="567"/>
        </w:tabs>
        <w:ind w:left="567" w:hanging="567"/>
      </w:pPr>
      <w:rPr>
        <w:rFonts w:hint="eastAsia" w:cs="Times New Roman"/>
      </w:rPr>
    </w:lvl>
    <w:lvl w:ilvl="1" w:tentative="0">
      <w:start w:val="1"/>
      <w:numFmt w:val="decimal"/>
      <w:pStyle w:val="488"/>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3NTViNGUxYjFjYTA3OWI0ZTcxMjA3ODY2MmVkNTAifQ=="/>
  </w:docVars>
  <w:rsids>
    <w:rsidRoot w:val="002921FC"/>
    <w:rsid w:val="000123BE"/>
    <w:rsid w:val="0003323C"/>
    <w:rsid w:val="000452C3"/>
    <w:rsid w:val="00045BFB"/>
    <w:rsid w:val="0004691B"/>
    <w:rsid w:val="000477A6"/>
    <w:rsid w:val="0007509A"/>
    <w:rsid w:val="00092D20"/>
    <w:rsid w:val="0009607A"/>
    <w:rsid w:val="00097866"/>
    <w:rsid w:val="000A151C"/>
    <w:rsid w:val="000B0C48"/>
    <w:rsid w:val="000B7E60"/>
    <w:rsid w:val="000C7A92"/>
    <w:rsid w:val="000D27C5"/>
    <w:rsid w:val="000F57BA"/>
    <w:rsid w:val="00102022"/>
    <w:rsid w:val="00103337"/>
    <w:rsid w:val="00114630"/>
    <w:rsid w:val="00142326"/>
    <w:rsid w:val="00155DBD"/>
    <w:rsid w:val="00163E43"/>
    <w:rsid w:val="00171AE8"/>
    <w:rsid w:val="00184BA3"/>
    <w:rsid w:val="00191021"/>
    <w:rsid w:val="001A22F5"/>
    <w:rsid w:val="001B5DC6"/>
    <w:rsid w:val="001D4435"/>
    <w:rsid w:val="001D55F3"/>
    <w:rsid w:val="001F213C"/>
    <w:rsid w:val="001F4EA7"/>
    <w:rsid w:val="002010CF"/>
    <w:rsid w:val="00211C98"/>
    <w:rsid w:val="0021707E"/>
    <w:rsid w:val="0022124C"/>
    <w:rsid w:val="00233AAB"/>
    <w:rsid w:val="00242895"/>
    <w:rsid w:val="00244284"/>
    <w:rsid w:val="0024592F"/>
    <w:rsid w:val="00252E01"/>
    <w:rsid w:val="0025618A"/>
    <w:rsid w:val="002848BB"/>
    <w:rsid w:val="002921F8"/>
    <w:rsid w:val="002921FC"/>
    <w:rsid w:val="00292F81"/>
    <w:rsid w:val="00296D7E"/>
    <w:rsid w:val="002C2DE6"/>
    <w:rsid w:val="002C710D"/>
    <w:rsid w:val="002D431F"/>
    <w:rsid w:val="002D4FFD"/>
    <w:rsid w:val="002D6EC4"/>
    <w:rsid w:val="0031519F"/>
    <w:rsid w:val="00325CB7"/>
    <w:rsid w:val="003361C7"/>
    <w:rsid w:val="00375DDC"/>
    <w:rsid w:val="003A129C"/>
    <w:rsid w:val="003A2ACE"/>
    <w:rsid w:val="003C76C1"/>
    <w:rsid w:val="003D276F"/>
    <w:rsid w:val="003D393E"/>
    <w:rsid w:val="003D4E19"/>
    <w:rsid w:val="003E0F25"/>
    <w:rsid w:val="003F129B"/>
    <w:rsid w:val="004335BC"/>
    <w:rsid w:val="00464852"/>
    <w:rsid w:val="00464F07"/>
    <w:rsid w:val="004670CF"/>
    <w:rsid w:val="00483AF2"/>
    <w:rsid w:val="00484B1A"/>
    <w:rsid w:val="00486A2C"/>
    <w:rsid w:val="00495542"/>
    <w:rsid w:val="004D219A"/>
    <w:rsid w:val="004D5CFE"/>
    <w:rsid w:val="004F3478"/>
    <w:rsid w:val="00500971"/>
    <w:rsid w:val="005255AD"/>
    <w:rsid w:val="0054732A"/>
    <w:rsid w:val="00552008"/>
    <w:rsid w:val="00560AFB"/>
    <w:rsid w:val="00577FFD"/>
    <w:rsid w:val="005B7FF9"/>
    <w:rsid w:val="005C40F9"/>
    <w:rsid w:val="005C55ED"/>
    <w:rsid w:val="005D752A"/>
    <w:rsid w:val="005E5153"/>
    <w:rsid w:val="00632441"/>
    <w:rsid w:val="0063292E"/>
    <w:rsid w:val="00640980"/>
    <w:rsid w:val="00646F14"/>
    <w:rsid w:val="0066257C"/>
    <w:rsid w:val="006B235C"/>
    <w:rsid w:val="006B6B07"/>
    <w:rsid w:val="006E7114"/>
    <w:rsid w:val="006F6DFA"/>
    <w:rsid w:val="00700D1A"/>
    <w:rsid w:val="00703F5C"/>
    <w:rsid w:val="007417A8"/>
    <w:rsid w:val="00750960"/>
    <w:rsid w:val="007607B3"/>
    <w:rsid w:val="00763D27"/>
    <w:rsid w:val="007739E9"/>
    <w:rsid w:val="007A47CB"/>
    <w:rsid w:val="007B309E"/>
    <w:rsid w:val="007B541E"/>
    <w:rsid w:val="0080043C"/>
    <w:rsid w:val="00800684"/>
    <w:rsid w:val="008110AF"/>
    <w:rsid w:val="00815E81"/>
    <w:rsid w:val="00821D45"/>
    <w:rsid w:val="008239EE"/>
    <w:rsid w:val="00850066"/>
    <w:rsid w:val="00855981"/>
    <w:rsid w:val="00880EBD"/>
    <w:rsid w:val="00891E2F"/>
    <w:rsid w:val="008B51BD"/>
    <w:rsid w:val="008C1CBA"/>
    <w:rsid w:val="008D614E"/>
    <w:rsid w:val="008E0405"/>
    <w:rsid w:val="008E087F"/>
    <w:rsid w:val="008E5536"/>
    <w:rsid w:val="008F1701"/>
    <w:rsid w:val="009209BE"/>
    <w:rsid w:val="00922744"/>
    <w:rsid w:val="00941DC9"/>
    <w:rsid w:val="009553C8"/>
    <w:rsid w:val="00955D97"/>
    <w:rsid w:val="009766E3"/>
    <w:rsid w:val="009976B9"/>
    <w:rsid w:val="009A1877"/>
    <w:rsid w:val="009A64DA"/>
    <w:rsid w:val="009C1E72"/>
    <w:rsid w:val="009D63AB"/>
    <w:rsid w:val="009E1571"/>
    <w:rsid w:val="009F57A2"/>
    <w:rsid w:val="00A11BFB"/>
    <w:rsid w:val="00A27FB2"/>
    <w:rsid w:val="00A35246"/>
    <w:rsid w:val="00A56103"/>
    <w:rsid w:val="00AD0670"/>
    <w:rsid w:val="00B030B2"/>
    <w:rsid w:val="00B2172F"/>
    <w:rsid w:val="00B321BA"/>
    <w:rsid w:val="00B44235"/>
    <w:rsid w:val="00B66A71"/>
    <w:rsid w:val="00B76CD8"/>
    <w:rsid w:val="00B9434A"/>
    <w:rsid w:val="00BA1CC0"/>
    <w:rsid w:val="00BA4C0A"/>
    <w:rsid w:val="00BB674E"/>
    <w:rsid w:val="00BC23D1"/>
    <w:rsid w:val="00BC6E83"/>
    <w:rsid w:val="00BD672B"/>
    <w:rsid w:val="00BE22B3"/>
    <w:rsid w:val="00BF2C19"/>
    <w:rsid w:val="00BF543A"/>
    <w:rsid w:val="00C0684E"/>
    <w:rsid w:val="00C20743"/>
    <w:rsid w:val="00C22F77"/>
    <w:rsid w:val="00C3234E"/>
    <w:rsid w:val="00C3748A"/>
    <w:rsid w:val="00C47896"/>
    <w:rsid w:val="00C71335"/>
    <w:rsid w:val="00C73C8B"/>
    <w:rsid w:val="00C750C6"/>
    <w:rsid w:val="00C80489"/>
    <w:rsid w:val="00C9190A"/>
    <w:rsid w:val="00CE0D66"/>
    <w:rsid w:val="00CE4869"/>
    <w:rsid w:val="00CE6763"/>
    <w:rsid w:val="00D04CE9"/>
    <w:rsid w:val="00D14EE1"/>
    <w:rsid w:val="00D30C22"/>
    <w:rsid w:val="00D507C5"/>
    <w:rsid w:val="00D56034"/>
    <w:rsid w:val="00D83D25"/>
    <w:rsid w:val="00D86264"/>
    <w:rsid w:val="00D93F24"/>
    <w:rsid w:val="00DA4F45"/>
    <w:rsid w:val="00DB11B1"/>
    <w:rsid w:val="00DB1266"/>
    <w:rsid w:val="00DB6016"/>
    <w:rsid w:val="00DC17D7"/>
    <w:rsid w:val="00DC5BCB"/>
    <w:rsid w:val="00DC7DDD"/>
    <w:rsid w:val="00DD3613"/>
    <w:rsid w:val="00DE0DEA"/>
    <w:rsid w:val="00DE3573"/>
    <w:rsid w:val="00DE725A"/>
    <w:rsid w:val="00DE7832"/>
    <w:rsid w:val="00E26226"/>
    <w:rsid w:val="00E315E7"/>
    <w:rsid w:val="00E3703C"/>
    <w:rsid w:val="00E51CFC"/>
    <w:rsid w:val="00E62DC8"/>
    <w:rsid w:val="00E647AA"/>
    <w:rsid w:val="00E70B1F"/>
    <w:rsid w:val="00EA21B5"/>
    <w:rsid w:val="00EB458D"/>
    <w:rsid w:val="00ED36B1"/>
    <w:rsid w:val="00EF5EDF"/>
    <w:rsid w:val="00F040FD"/>
    <w:rsid w:val="00F042B7"/>
    <w:rsid w:val="00F4245C"/>
    <w:rsid w:val="00F53AF4"/>
    <w:rsid w:val="00F541F9"/>
    <w:rsid w:val="00F561B4"/>
    <w:rsid w:val="00F61A1B"/>
    <w:rsid w:val="00F661B1"/>
    <w:rsid w:val="00F76FCA"/>
    <w:rsid w:val="00F81F54"/>
    <w:rsid w:val="00F95A8A"/>
    <w:rsid w:val="00FA04BE"/>
    <w:rsid w:val="00FB77D7"/>
    <w:rsid w:val="00FE0476"/>
    <w:rsid w:val="4EDEAD2B"/>
    <w:rsid w:val="6EA8645C"/>
    <w:rsid w:val="776FE406"/>
    <w:rsid w:val="7EF76887"/>
    <w:rsid w:val="7F7FD3DF"/>
    <w:rsid w:val="BBFFD985"/>
    <w:rsid w:val="CCFFE1AA"/>
    <w:rsid w:val="DEFE37F0"/>
    <w:rsid w:val="EDFFAE32"/>
    <w:rsid w:val="F7FDF9F7"/>
    <w:rsid w:val="F9E73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iPriority="39" w:semiHidden="0" w:name="toc 1"/>
    <w:lsdException w:qFormat="1" w:unhideWhenUsed="0" w:uiPriority="39"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99" w:name="E-mail Signature"/>
    <w:lsdException w:qFormat="1"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8"/>
    <w:qFormat/>
    <w:uiPriority w:val="9"/>
    <w:pPr>
      <w:keepNext/>
      <w:keepLines/>
      <w:pageBreakBefore/>
      <w:adjustRightInd w:val="0"/>
      <w:snapToGrid w:val="0"/>
      <w:spacing w:before="340" w:after="330"/>
      <w:jc w:val="center"/>
      <w:outlineLvl w:val="0"/>
    </w:pPr>
    <w:rPr>
      <w:rFonts w:ascii="黑体" w:hAnsi="楷体_GB2312" w:eastAsia="黑体" w:cs="宋体"/>
      <w:kern w:val="0"/>
      <w:sz w:val="32"/>
      <w:szCs w:val="20"/>
    </w:rPr>
  </w:style>
  <w:style w:type="paragraph" w:styleId="3">
    <w:name w:val="heading 2"/>
    <w:basedOn w:val="1"/>
    <w:next w:val="1"/>
    <w:link w:val="87"/>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112"/>
    <w:qFormat/>
    <w:uiPriority w:val="0"/>
    <w:pPr>
      <w:adjustRightInd w:val="0"/>
      <w:spacing w:before="120" w:after="120" w:line="400" w:lineRule="exact"/>
      <w:ind w:firstLine="601"/>
      <w:textAlignment w:val="baseline"/>
      <w:outlineLvl w:val="2"/>
    </w:pPr>
    <w:rPr>
      <w:rFonts w:ascii="Arial Rounded MT Bold" w:hAnsi="Arial Rounded MT Bold" w:eastAsia="文鼎大标宋简" w:cs="Times New Roman"/>
      <w:spacing w:val="8"/>
      <w:kern w:val="0"/>
      <w:szCs w:val="20"/>
    </w:rPr>
  </w:style>
  <w:style w:type="paragraph" w:styleId="5">
    <w:name w:val="heading 4"/>
    <w:basedOn w:val="1"/>
    <w:next w:val="1"/>
    <w:link w:val="81"/>
    <w:qFormat/>
    <w:uiPriority w:val="0"/>
    <w:pPr>
      <w:keepNext/>
      <w:keepLines/>
      <w:spacing w:line="300" w:lineRule="auto"/>
      <w:outlineLvl w:val="3"/>
    </w:pPr>
    <w:rPr>
      <w:rFonts w:ascii="Arial" w:hAnsi="Arial" w:eastAsia="宋体" w:cs="Times New Roman"/>
      <w:b/>
      <w:bCs/>
      <w:sz w:val="28"/>
      <w:szCs w:val="28"/>
    </w:rPr>
  </w:style>
  <w:style w:type="paragraph" w:styleId="6">
    <w:name w:val="heading 5"/>
    <w:basedOn w:val="1"/>
    <w:next w:val="1"/>
    <w:link w:val="82"/>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8"/>
    <w:link w:val="83"/>
    <w:qFormat/>
    <w:uiPriority w:val="9"/>
    <w:pPr>
      <w:keepNext/>
      <w:keepLines/>
      <w:spacing w:before="240" w:after="64" w:line="320" w:lineRule="auto"/>
      <w:outlineLvl w:val="5"/>
    </w:pPr>
    <w:rPr>
      <w:rFonts w:ascii="Arial" w:hAnsi="Arial" w:eastAsia="黑体" w:cs="Times New Roman"/>
      <w:b/>
      <w:sz w:val="24"/>
      <w:szCs w:val="20"/>
    </w:rPr>
  </w:style>
  <w:style w:type="paragraph" w:styleId="9">
    <w:name w:val="heading 7"/>
    <w:basedOn w:val="1"/>
    <w:next w:val="8"/>
    <w:link w:val="84"/>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0">
    <w:name w:val="heading 8"/>
    <w:basedOn w:val="1"/>
    <w:next w:val="8"/>
    <w:link w:val="85"/>
    <w:qFormat/>
    <w:uiPriority w:val="0"/>
    <w:pPr>
      <w:keepNext/>
      <w:keepLines/>
      <w:spacing w:before="240" w:after="64" w:line="320" w:lineRule="auto"/>
      <w:outlineLvl w:val="7"/>
    </w:pPr>
    <w:rPr>
      <w:rFonts w:ascii="Arial" w:hAnsi="Arial" w:eastAsia="黑体" w:cs="Times New Roman"/>
      <w:sz w:val="24"/>
      <w:szCs w:val="20"/>
    </w:rPr>
  </w:style>
  <w:style w:type="paragraph" w:styleId="11">
    <w:name w:val="heading 9"/>
    <w:basedOn w:val="1"/>
    <w:next w:val="8"/>
    <w:link w:val="86"/>
    <w:qFormat/>
    <w:uiPriority w:val="0"/>
    <w:pPr>
      <w:keepNext/>
      <w:keepLines/>
      <w:spacing w:before="240" w:after="64" w:line="320" w:lineRule="auto"/>
      <w:outlineLvl w:val="8"/>
    </w:pPr>
    <w:rPr>
      <w:rFonts w:ascii="Arial" w:hAnsi="Arial" w:eastAsia="黑体" w:cs="Times New Roman"/>
      <w:szCs w:val="20"/>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428"/>
    <w:unhideWhenUsed/>
    <w:qFormat/>
    <w:uiPriority w:val="0"/>
    <w:pPr>
      <w:ind w:firstLine="420"/>
    </w:pPr>
    <w:rPr>
      <w:rFonts w:ascii="Times New Roman" w:hAnsi="Times New Roman" w:eastAsia="宋体" w:cs="Times New Roman"/>
      <w:szCs w:val="20"/>
    </w:rPr>
  </w:style>
  <w:style w:type="paragraph" w:styleId="12">
    <w:name w:val="List 3"/>
    <w:basedOn w:val="1"/>
    <w:qFormat/>
    <w:uiPriority w:val="99"/>
    <w:pPr>
      <w:ind w:left="1260" w:hanging="420"/>
    </w:pPr>
    <w:rPr>
      <w:rFonts w:ascii="Times New Roman" w:hAnsi="Times New Roman" w:eastAsia="宋体" w:cs="Times New Roman"/>
      <w:szCs w:val="20"/>
    </w:rPr>
  </w:style>
  <w:style w:type="paragraph" w:styleId="13">
    <w:name w:val="toc 7"/>
    <w:basedOn w:val="1"/>
    <w:next w:val="1"/>
    <w:unhideWhenUsed/>
    <w:qFormat/>
    <w:uiPriority w:val="0"/>
    <w:pPr>
      <w:ind w:left="2520" w:leftChars="1200"/>
    </w:pPr>
    <w:rPr>
      <w:rFonts w:ascii="Calibri" w:hAnsi="Calibri" w:eastAsia="宋体" w:cs="Times New Roman"/>
    </w:rPr>
  </w:style>
  <w:style w:type="paragraph" w:styleId="14">
    <w:name w:val="Note Heading"/>
    <w:basedOn w:val="1"/>
    <w:next w:val="1"/>
    <w:link w:val="135"/>
    <w:qFormat/>
    <w:uiPriority w:val="0"/>
    <w:pPr>
      <w:adjustRightInd w:val="0"/>
      <w:spacing w:line="400" w:lineRule="exact"/>
      <w:ind w:firstLine="601"/>
      <w:jc w:val="center"/>
      <w:textAlignment w:val="baseline"/>
    </w:pPr>
    <w:rPr>
      <w:rFonts w:ascii="Times New Roman" w:hAnsi="Times New Roman" w:eastAsia="楷体_GB2312" w:cs="Times New Roman"/>
      <w:spacing w:val="8"/>
      <w:kern w:val="0"/>
      <w:sz w:val="28"/>
      <w:szCs w:val="20"/>
    </w:rPr>
  </w:style>
  <w:style w:type="paragraph" w:styleId="15">
    <w:name w:val="index 8"/>
    <w:basedOn w:val="1"/>
    <w:next w:val="1"/>
    <w:qFormat/>
    <w:uiPriority w:val="99"/>
    <w:pPr>
      <w:ind w:left="2940"/>
    </w:pPr>
    <w:rPr>
      <w:rFonts w:ascii="Times New Roman" w:hAnsi="Times New Roman" w:eastAsia="宋体" w:cs="Times New Roman"/>
      <w:szCs w:val="20"/>
    </w:rPr>
  </w:style>
  <w:style w:type="paragraph" w:styleId="16">
    <w:name w:val="caption"/>
    <w:basedOn w:val="1"/>
    <w:next w:val="1"/>
    <w:link w:val="548"/>
    <w:qFormat/>
    <w:uiPriority w:val="35"/>
    <w:rPr>
      <w:rFonts w:ascii="Cambria" w:hAnsi="Cambria" w:eastAsia="黑体" w:cs="Times New Roman"/>
      <w:sz w:val="20"/>
      <w:szCs w:val="20"/>
    </w:rPr>
  </w:style>
  <w:style w:type="paragraph" w:styleId="17">
    <w:name w:val="index 5"/>
    <w:basedOn w:val="1"/>
    <w:next w:val="1"/>
    <w:qFormat/>
    <w:uiPriority w:val="99"/>
    <w:pPr>
      <w:ind w:left="1680"/>
    </w:pPr>
    <w:rPr>
      <w:rFonts w:ascii="Times New Roman" w:hAnsi="Times New Roman" w:eastAsia="宋体" w:cs="Times New Roman"/>
      <w:szCs w:val="20"/>
    </w:rPr>
  </w:style>
  <w:style w:type="paragraph" w:styleId="18">
    <w:name w:val="Document Map"/>
    <w:basedOn w:val="1"/>
    <w:link w:val="233"/>
    <w:unhideWhenUsed/>
    <w:qFormat/>
    <w:uiPriority w:val="0"/>
    <w:rPr>
      <w:rFonts w:ascii="Microsoft YaHei UI" w:eastAsia="Microsoft YaHei UI"/>
      <w:sz w:val="18"/>
      <w:szCs w:val="18"/>
    </w:rPr>
  </w:style>
  <w:style w:type="paragraph" w:styleId="19">
    <w:name w:val="annotation text"/>
    <w:basedOn w:val="1"/>
    <w:link w:val="234"/>
    <w:unhideWhenUsed/>
    <w:qFormat/>
    <w:uiPriority w:val="0"/>
    <w:pPr>
      <w:jc w:val="left"/>
    </w:pPr>
  </w:style>
  <w:style w:type="paragraph" w:styleId="20">
    <w:name w:val="index 6"/>
    <w:basedOn w:val="1"/>
    <w:next w:val="1"/>
    <w:qFormat/>
    <w:uiPriority w:val="99"/>
    <w:pPr>
      <w:ind w:left="2100"/>
    </w:pPr>
    <w:rPr>
      <w:rFonts w:ascii="Times New Roman" w:hAnsi="Times New Roman" w:eastAsia="宋体" w:cs="Times New Roman"/>
      <w:szCs w:val="20"/>
    </w:rPr>
  </w:style>
  <w:style w:type="paragraph" w:styleId="21">
    <w:name w:val="Salutation"/>
    <w:basedOn w:val="1"/>
    <w:next w:val="1"/>
    <w:link w:val="242"/>
    <w:qFormat/>
    <w:uiPriority w:val="0"/>
    <w:rPr>
      <w:rFonts w:ascii="楷体_GB2312" w:hAnsi="Times New Roman" w:eastAsia="楷体_GB2312" w:cs="Times New Roman"/>
      <w:sz w:val="28"/>
      <w:szCs w:val="20"/>
    </w:rPr>
  </w:style>
  <w:style w:type="paragraph" w:styleId="22">
    <w:name w:val="Body Text 3"/>
    <w:basedOn w:val="1"/>
    <w:link w:val="149"/>
    <w:qFormat/>
    <w:uiPriority w:val="0"/>
    <w:pPr>
      <w:spacing w:after="120"/>
    </w:pPr>
    <w:rPr>
      <w:rFonts w:ascii="Times New Roman" w:hAnsi="Times New Roman" w:eastAsia="宋体" w:cs="Times New Roman"/>
      <w:sz w:val="16"/>
      <w:szCs w:val="16"/>
    </w:rPr>
  </w:style>
  <w:style w:type="paragraph" w:styleId="23">
    <w:name w:val="Body Text"/>
    <w:basedOn w:val="1"/>
    <w:link w:val="143"/>
    <w:qFormat/>
    <w:uiPriority w:val="1"/>
    <w:rPr>
      <w:rFonts w:ascii="宋体" w:hAnsi="Times New Roman" w:eastAsia="宋体" w:cs="Times New Roman"/>
      <w:sz w:val="28"/>
      <w:szCs w:val="20"/>
    </w:rPr>
  </w:style>
  <w:style w:type="paragraph" w:styleId="24">
    <w:name w:val="Body Text Indent"/>
    <w:basedOn w:val="1"/>
    <w:link w:val="109"/>
    <w:qFormat/>
    <w:uiPriority w:val="99"/>
    <w:pPr>
      <w:spacing w:line="360" w:lineRule="auto"/>
      <w:ind w:firstLine="525"/>
    </w:pPr>
    <w:rPr>
      <w:sz w:val="24"/>
    </w:rPr>
  </w:style>
  <w:style w:type="paragraph" w:styleId="25">
    <w:name w:val="index 4"/>
    <w:basedOn w:val="1"/>
    <w:next w:val="1"/>
    <w:qFormat/>
    <w:uiPriority w:val="0"/>
    <w:pPr>
      <w:ind w:left="600" w:leftChars="600"/>
    </w:pPr>
    <w:rPr>
      <w:rFonts w:ascii="Times New Roman" w:hAnsi="Times New Roman" w:eastAsia="宋体" w:cs="Times New Roman"/>
      <w:szCs w:val="24"/>
    </w:rPr>
  </w:style>
  <w:style w:type="paragraph" w:styleId="26">
    <w:name w:val="toc 5"/>
    <w:basedOn w:val="1"/>
    <w:next w:val="1"/>
    <w:unhideWhenUsed/>
    <w:qFormat/>
    <w:uiPriority w:val="0"/>
    <w:pPr>
      <w:ind w:left="1680" w:leftChars="800"/>
    </w:pPr>
    <w:rPr>
      <w:rFonts w:ascii="Calibri" w:hAnsi="Calibri" w:eastAsia="宋体" w:cs="Times New Roman"/>
    </w:rPr>
  </w:style>
  <w:style w:type="paragraph" w:styleId="27">
    <w:name w:val="toc 3"/>
    <w:basedOn w:val="1"/>
    <w:next w:val="1"/>
    <w:qFormat/>
    <w:uiPriority w:val="0"/>
    <w:pPr>
      <w:ind w:left="840" w:leftChars="400"/>
    </w:pPr>
    <w:rPr>
      <w:rFonts w:ascii="Times New Roman" w:hAnsi="Times New Roman" w:eastAsia="宋体" w:cs="Times New Roman"/>
      <w:szCs w:val="20"/>
    </w:rPr>
  </w:style>
  <w:style w:type="paragraph" w:styleId="28">
    <w:name w:val="Plain Text"/>
    <w:basedOn w:val="1"/>
    <w:link w:val="93"/>
    <w:unhideWhenUsed/>
    <w:qFormat/>
    <w:uiPriority w:val="0"/>
    <w:rPr>
      <w:rFonts w:ascii="宋体" w:hAnsi="Courier New" w:eastAsia="宋体" w:cs="金山简魏碑"/>
      <w:szCs w:val="21"/>
    </w:rPr>
  </w:style>
  <w:style w:type="paragraph" w:styleId="29">
    <w:name w:val="toc 8"/>
    <w:basedOn w:val="1"/>
    <w:next w:val="1"/>
    <w:unhideWhenUsed/>
    <w:qFormat/>
    <w:uiPriority w:val="0"/>
    <w:pPr>
      <w:ind w:left="2940" w:leftChars="1400"/>
    </w:pPr>
    <w:rPr>
      <w:rFonts w:ascii="Calibri" w:hAnsi="Calibri" w:eastAsia="宋体" w:cs="Times New Roman"/>
    </w:rPr>
  </w:style>
  <w:style w:type="paragraph" w:styleId="30">
    <w:name w:val="index 3"/>
    <w:basedOn w:val="1"/>
    <w:next w:val="1"/>
    <w:qFormat/>
    <w:uiPriority w:val="99"/>
    <w:pPr>
      <w:ind w:left="840"/>
    </w:pPr>
    <w:rPr>
      <w:rFonts w:ascii="Times New Roman" w:hAnsi="Times New Roman" w:eastAsia="宋体" w:cs="Times New Roman"/>
      <w:szCs w:val="20"/>
    </w:rPr>
  </w:style>
  <w:style w:type="paragraph" w:styleId="31">
    <w:name w:val="Date"/>
    <w:basedOn w:val="1"/>
    <w:next w:val="1"/>
    <w:link w:val="141"/>
    <w:qFormat/>
    <w:uiPriority w:val="99"/>
    <w:pPr>
      <w:ind w:left="100" w:leftChars="2500"/>
    </w:pPr>
    <w:rPr>
      <w:rFonts w:ascii="Times New Roman" w:hAnsi="Times New Roman" w:eastAsia="宋体" w:cs="Times New Roman"/>
      <w:szCs w:val="24"/>
    </w:rPr>
  </w:style>
  <w:style w:type="paragraph" w:styleId="32">
    <w:name w:val="Body Text Indent 2"/>
    <w:basedOn w:val="1"/>
    <w:link w:val="147"/>
    <w:qFormat/>
    <w:uiPriority w:val="0"/>
    <w:pPr>
      <w:spacing w:line="420" w:lineRule="atLeast"/>
      <w:ind w:firstLine="480"/>
    </w:pPr>
    <w:rPr>
      <w:rFonts w:ascii="宋体" w:hAnsi="Times New Roman" w:eastAsia="宋体" w:cs="Times New Roman"/>
      <w:sz w:val="24"/>
      <w:szCs w:val="20"/>
    </w:rPr>
  </w:style>
  <w:style w:type="paragraph" w:styleId="33">
    <w:name w:val="Balloon Text"/>
    <w:basedOn w:val="1"/>
    <w:link w:val="235"/>
    <w:unhideWhenUsed/>
    <w:qFormat/>
    <w:uiPriority w:val="99"/>
    <w:rPr>
      <w:sz w:val="18"/>
      <w:szCs w:val="18"/>
    </w:rPr>
  </w:style>
  <w:style w:type="paragraph" w:styleId="34">
    <w:name w:val="footer"/>
    <w:basedOn w:val="1"/>
    <w:link w:val="77"/>
    <w:unhideWhenUsed/>
    <w:qFormat/>
    <w:uiPriority w:val="99"/>
    <w:pPr>
      <w:tabs>
        <w:tab w:val="center" w:pos="4153"/>
        <w:tab w:val="right" w:pos="8306"/>
      </w:tabs>
      <w:snapToGrid w:val="0"/>
      <w:jc w:val="left"/>
    </w:pPr>
    <w:rPr>
      <w:sz w:val="18"/>
      <w:szCs w:val="18"/>
    </w:rPr>
  </w:style>
  <w:style w:type="paragraph" w:styleId="35">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unhideWhenUsed/>
    <w:qFormat/>
    <w:uiPriority w:val="39"/>
    <w:rPr>
      <w:rFonts w:ascii="Times New Roman" w:hAnsi="Times New Roman" w:eastAsia="宋体" w:cs="Times New Roman"/>
      <w:szCs w:val="24"/>
    </w:rPr>
  </w:style>
  <w:style w:type="paragraph" w:styleId="37">
    <w:name w:val="toc 4"/>
    <w:basedOn w:val="1"/>
    <w:next w:val="1"/>
    <w:unhideWhenUsed/>
    <w:qFormat/>
    <w:uiPriority w:val="0"/>
    <w:pPr>
      <w:ind w:left="1260" w:leftChars="600"/>
    </w:pPr>
    <w:rPr>
      <w:rFonts w:ascii="Calibri" w:hAnsi="Calibri" w:eastAsia="宋体" w:cs="Times New Roman"/>
    </w:rPr>
  </w:style>
  <w:style w:type="paragraph" w:styleId="38">
    <w:name w:val="index heading"/>
    <w:basedOn w:val="1"/>
    <w:next w:val="39"/>
    <w:qFormat/>
    <w:uiPriority w:val="99"/>
    <w:rPr>
      <w:rFonts w:ascii="Times New Roman" w:hAnsi="Times New Roman" w:eastAsia="宋体" w:cs="Times New Roman"/>
      <w:szCs w:val="20"/>
    </w:rPr>
  </w:style>
  <w:style w:type="paragraph" w:styleId="39">
    <w:name w:val="index 1"/>
    <w:basedOn w:val="1"/>
    <w:next w:val="1"/>
    <w:unhideWhenUsed/>
    <w:qFormat/>
    <w:uiPriority w:val="0"/>
  </w:style>
  <w:style w:type="paragraph" w:styleId="40">
    <w:name w:val="Subtitle"/>
    <w:basedOn w:val="1"/>
    <w:next w:val="1"/>
    <w:link w:val="243"/>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41">
    <w:name w:val="List"/>
    <w:basedOn w:val="1"/>
    <w:qFormat/>
    <w:uiPriority w:val="0"/>
    <w:pPr>
      <w:widowControl/>
      <w:overflowPunct w:val="0"/>
      <w:autoSpaceDE w:val="0"/>
      <w:autoSpaceDN w:val="0"/>
      <w:spacing w:line="240" w:lineRule="atLeast"/>
      <w:jc w:val="center"/>
    </w:pPr>
    <w:rPr>
      <w:rFonts w:ascii="Times New Roman" w:hAnsi="Times New Roman" w:eastAsia="宋体" w:cs="Times New Roman"/>
      <w:sz w:val="18"/>
      <w:szCs w:val="24"/>
    </w:rPr>
  </w:style>
  <w:style w:type="paragraph" w:styleId="42">
    <w:name w:val="footnote text"/>
    <w:basedOn w:val="1"/>
    <w:link w:val="170"/>
    <w:qFormat/>
    <w:uiPriority w:val="0"/>
    <w:pPr>
      <w:snapToGrid w:val="0"/>
      <w:jc w:val="left"/>
    </w:pPr>
    <w:rPr>
      <w:sz w:val="18"/>
      <w:szCs w:val="18"/>
    </w:rPr>
  </w:style>
  <w:style w:type="paragraph" w:styleId="43">
    <w:name w:val="toc 6"/>
    <w:basedOn w:val="1"/>
    <w:next w:val="1"/>
    <w:unhideWhenUsed/>
    <w:qFormat/>
    <w:uiPriority w:val="0"/>
    <w:pPr>
      <w:ind w:left="2100" w:leftChars="1000"/>
    </w:pPr>
    <w:rPr>
      <w:rFonts w:ascii="Calibri" w:hAnsi="Calibri" w:eastAsia="宋体" w:cs="Times New Roman"/>
    </w:rPr>
  </w:style>
  <w:style w:type="paragraph" w:styleId="44">
    <w:name w:val="Body Text Indent 3"/>
    <w:basedOn w:val="1"/>
    <w:link w:val="138"/>
    <w:qFormat/>
    <w:uiPriority w:val="0"/>
    <w:pPr>
      <w:spacing w:line="360" w:lineRule="auto"/>
      <w:ind w:right="-109" w:firstLine="567"/>
    </w:pPr>
    <w:rPr>
      <w:rFonts w:ascii="Times New Roman" w:hAnsi="Times New Roman" w:eastAsia="宋体" w:cs="Times New Roman"/>
      <w:sz w:val="24"/>
      <w:szCs w:val="20"/>
    </w:rPr>
  </w:style>
  <w:style w:type="paragraph" w:styleId="45">
    <w:name w:val="index 7"/>
    <w:basedOn w:val="1"/>
    <w:next w:val="1"/>
    <w:qFormat/>
    <w:uiPriority w:val="99"/>
    <w:pPr>
      <w:ind w:left="2520"/>
    </w:pPr>
    <w:rPr>
      <w:rFonts w:ascii="Times New Roman" w:hAnsi="Times New Roman" w:eastAsia="宋体" w:cs="Times New Roman"/>
      <w:szCs w:val="20"/>
    </w:rPr>
  </w:style>
  <w:style w:type="paragraph" w:styleId="46">
    <w:name w:val="index 9"/>
    <w:basedOn w:val="1"/>
    <w:next w:val="1"/>
    <w:qFormat/>
    <w:uiPriority w:val="99"/>
    <w:pPr>
      <w:ind w:left="3360"/>
    </w:pPr>
    <w:rPr>
      <w:rFonts w:ascii="Times New Roman" w:hAnsi="Times New Roman" w:eastAsia="宋体" w:cs="Times New Roman"/>
      <w:szCs w:val="20"/>
    </w:rPr>
  </w:style>
  <w:style w:type="paragraph" w:styleId="47">
    <w:name w:val="table of figures"/>
    <w:basedOn w:val="1"/>
    <w:next w:val="1"/>
    <w:qFormat/>
    <w:uiPriority w:val="99"/>
    <w:pPr>
      <w:ind w:left="840" w:hanging="420"/>
    </w:pPr>
    <w:rPr>
      <w:rFonts w:ascii="Times New Roman" w:hAnsi="Times New Roman" w:eastAsia="宋体" w:cs="Times New Roman"/>
      <w:szCs w:val="20"/>
    </w:rPr>
  </w:style>
  <w:style w:type="paragraph" w:styleId="48">
    <w:name w:val="toc 2"/>
    <w:basedOn w:val="1"/>
    <w:next w:val="1"/>
    <w:qFormat/>
    <w:uiPriority w:val="39"/>
    <w:pPr>
      <w:ind w:left="420" w:leftChars="200"/>
    </w:pPr>
    <w:rPr>
      <w:rFonts w:ascii="Times New Roman" w:hAnsi="Times New Roman" w:eastAsia="宋体" w:cs="Times New Roman"/>
      <w:szCs w:val="20"/>
    </w:rPr>
  </w:style>
  <w:style w:type="paragraph" w:styleId="49">
    <w:name w:val="toc 9"/>
    <w:basedOn w:val="1"/>
    <w:next w:val="1"/>
    <w:unhideWhenUsed/>
    <w:qFormat/>
    <w:uiPriority w:val="0"/>
    <w:pPr>
      <w:ind w:left="3360" w:leftChars="1600"/>
    </w:pPr>
    <w:rPr>
      <w:rFonts w:ascii="Calibri" w:hAnsi="Calibri" w:eastAsia="宋体" w:cs="Times New Roman"/>
    </w:rPr>
  </w:style>
  <w:style w:type="paragraph" w:styleId="50">
    <w:name w:val="Body Text 2"/>
    <w:basedOn w:val="1"/>
    <w:link w:val="133"/>
    <w:qFormat/>
    <w:uiPriority w:val="0"/>
    <w:pPr>
      <w:spacing w:after="120" w:line="480" w:lineRule="auto"/>
    </w:pPr>
    <w:rPr>
      <w:rFonts w:ascii="Times New Roman" w:hAnsi="Times New Roman" w:eastAsia="宋体" w:cs="Times New Roman"/>
      <w:szCs w:val="24"/>
    </w:rPr>
  </w:style>
  <w:style w:type="paragraph" w:styleId="51">
    <w:name w:val="HTML Preformatted"/>
    <w:basedOn w:val="1"/>
    <w:link w:val="2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Courier New"/>
      <w:kern w:val="0"/>
      <w:sz w:val="20"/>
      <w:szCs w:val="20"/>
    </w:rPr>
  </w:style>
  <w:style w:type="paragraph" w:styleId="52">
    <w:name w:val="Normal (Web)"/>
    <w:basedOn w:val="1"/>
    <w:link w:val="553"/>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3">
    <w:name w:val="index 2"/>
    <w:basedOn w:val="1"/>
    <w:next w:val="1"/>
    <w:qFormat/>
    <w:uiPriority w:val="99"/>
    <w:pPr>
      <w:ind w:left="420"/>
    </w:pPr>
    <w:rPr>
      <w:rFonts w:ascii="Times New Roman" w:hAnsi="Times New Roman" w:eastAsia="宋体" w:cs="Times New Roman"/>
      <w:szCs w:val="20"/>
    </w:rPr>
  </w:style>
  <w:style w:type="paragraph" w:styleId="54">
    <w:name w:val="Title"/>
    <w:basedOn w:val="1"/>
    <w:link w:val="120"/>
    <w:qFormat/>
    <w:uiPriority w:val="0"/>
    <w:pPr>
      <w:spacing w:before="240" w:after="60"/>
      <w:jc w:val="center"/>
      <w:outlineLvl w:val="0"/>
    </w:pPr>
    <w:rPr>
      <w:rFonts w:ascii="Arial" w:hAnsi="Arial" w:eastAsia="宋体" w:cs="Arial"/>
      <w:b/>
      <w:bCs/>
      <w:sz w:val="32"/>
      <w:szCs w:val="32"/>
    </w:rPr>
  </w:style>
  <w:style w:type="paragraph" w:styleId="55">
    <w:name w:val="annotation subject"/>
    <w:basedOn w:val="19"/>
    <w:next w:val="19"/>
    <w:link w:val="98"/>
    <w:unhideWhenUsed/>
    <w:qFormat/>
    <w:uiPriority w:val="0"/>
    <w:rPr>
      <w:rFonts w:ascii="Calibri" w:hAnsi="Calibri" w:eastAsia="宋体" w:cs="Times New Roman"/>
      <w:b/>
      <w:bCs/>
    </w:rPr>
  </w:style>
  <w:style w:type="paragraph" w:styleId="56">
    <w:name w:val="Body Text First Indent"/>
    <w:basedOn w:val="23"/>
    <w:link w:val="245"/>
    <w:qFormat/>
    <w:uiPriority w:val="99"/>
    <w:pPr>
      <w:spacing w:after="120"/>
      <w:ind w:firstLine="420" w:firstLineChars="100"/>
    </w:pPr>
    <w:rPr>
      <w:rFonts w:ascii="Times New Roman"/>
      <w:kern w:val="0"/>
      <w:sz w:val="20"/>
    </w:rPr>
  </w:style>
  <w:style w:type="paragraph" w:styleId="57">
    <w:name w:val="Body Text First Indent 2"/>
    <w:basedOn w:val="24"/>
    <w:link w:val="237"/>
    <w:unhideWhenUsed/>
    <w:qFormat/>
    <w:uiPriority w:val="99"/>
    <w:pPr>
      <w:spacing w:after="120" w:line="240" w:lineRule="auto"/>
      <w:ind w:left="420" w:leftChars="200" w:firstLine="420" w:firstLineChars="200"/>
    </w:pPr>
    <w:rPr>
      <w:sz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0"/>
    <w:rPr>
      <w:b/>
      <w:bCs/>
    </w:rPr>
  </w:style>
  <w:style w:type="character" w:styleId="62">
    <w:name w:val="page number"/>
    <w:basedOn w:val="60"/>
    <w:qFormat/>
    <w:uiPriority w:val="0"/>
  </w:style>
  <w:style w:type="character" w:styleId="63">
    <w:name w:val="FollowedHyperlink"/>
    <w:basedOn w:val="60"/>
    <w:unhideWhenUsed/>
    <w:qFormat/>
    <w:uiPriority w:val="0"/>
    <w:rPr>
      <w:color w:val="954F72" w:themeColor="followedHyperlink"/>
      <w:u w:val="single"/>
      <w14:textFill>
        <w14:solidFill>
          <w14:schemeClr w14:val="folHlink"/>
        </w14:solidFill>
      </w14:textFill>
    </w:rPr>
  </w:style>
  <w:style w:type="character" w:styleId="64">
    <w:name w:val="Emphasis"/>
    <w:qFormat/>
    <w:uiPriority w:val="0"/>
    <w:rPr>
      <w:color w:val="CC0000"/>
    </w:rPr>
  </w:style>
  <w:style w:type="character" w:styleId="65">
    <w:name w:val="HTML Definition"/>
    <w:qFormat/>
    <w:uiPriority w:val="0"/>
  </w:style>
  <w:style w:type="character" w:styleId="66">
    <w:name w:val="HTML Typewriter"/>
    <w:qFormat/>
    <w:uiPriority w:val="0"/>
    <w:rPr>
      <w:rFonts w:hint="default" w:ascii="monospace" w:hAnsi="monospace" w:eastAsia="monospace" w:cs="monospace"/>
      <w:sz w:val="20"/>
    </w:rPr>
  </w:style>
  <w:style w:type="character" w:styleId="67">
    <w:name w:val="HTML Acronym"/>
    <w:qFormat/>
    <w:uiPriority w:val="0"/>
  </w:style>
  <w:style w:type="character" w:styleId="68">
    <w:name w:val="HTML Variable"/>
    <w:qFormat/>
    <w:uiPriority w:val="0"/>
  </w:style>
  <w:style w:type="character" w:styleId="69">
    <w:name w:val="Hyperlink"/>
    <w:unhideWhenUsed/>
    <w:qFormat/>
    <w:uiPriority w:val="99"/>
    <w:rPr>
      <w:color w:val="0000FF"/>
      <w:u w:val="single"/>
    </w:rPr>
  </w:style>
  <w:style w:type="character" w:styleId="70">
    <w:name w:val="HTML Code"/>
    <w:qFormat/>
    <w:uiPriority w:val="0"/>
    <w:rPr>
      <w:rFonts w:hint="default" w:ascii="monospace" w:hAnsi="monospace" w:eastAsia="monospace" w:cs="monospace"/>
      <w:sz w:val="20"/>
    </w:rPr>
  </w:style>
  <w:style w:type="character" w:styleId="71">
    <w:name w:val="annotation reference"/>
    <w:basedOn w:val="60"/>
    <w:unhideWhenUsed/>
    <w:qFormat/>
    <w:uiPriority w:val="0"/>
    <w:rPr>
      <w:sz w:val="21"/>
      <w:szCs w:val="21"/>
    </w:rPr>
  </w:style>
  <w:style w:type="character" w:styleId="72">
    <w:name w:val="HTML Cite"/>
    <w:qFormat/>
    <w:uiPriority w:val="0"/>
  </w:style>
  <w:style w:type="character" w:styleId="73">
    <w:name w:val="footnote reference"/>
    <w:qFormat/>
    <w:uiPriority w:val="0"/>
    <w:rPr>
      <w:vertAlign w:val="superscript"/>
    </w:rPr>
  </w:style>
  <w:style w:type="character" w:styleId="74">
    <w:name w:val="HTML Keyboard"/>
    <w:qFormat/>
    <w:uiPriority w:val="0"/>
    <w:rPr>
      <w:rFonts w:ascii="monospace" w:hAnsi="monospace" w:eastAsia="monospace" w:cs="monospace"/>
      <w:sz w:val="20"/>
    </w:rPr>
  </w:style>
  <w:style w:type="character" w:styleId="75">
    <w:name w:val="HTML Sample"/>
    <w:qFormat/>
    <w:uiPriority w:val="0"/>
    <w:rPr>
      <w:rFonts w:hint="default" w:ascii="monospace" w:hAnsi="monospace" w:eastAsia="monospace" w:cs="monospace"/>
    </w:rPr>
  </w:style>
  <w:style w:type="character" w:customStyle="1" w:styleId="76">
    <w:name w:val="页眉 字符"/>
    <w:basedOn w:val="60"/>
    <w:link w:val="35"/>
    <w:qFormat/>
    <w:uiPriority w:val="99"/>
    <w:rPr>
      <w:sz w:val="18"/>
      <w:szCs w:val="18"/>
    </w:rPr>
  </w:style>
  <w:style w:type="character" w:customStyle="1" w:styleId="77">
    <w:name w:val="页脚 字符"/>
    <w:basedOn w:val="60"/>
    <w:link w:val="34"/>
    <w:qFormat/>
    <w:uiPriority w:val="99"/>
    <w:rPr>
      <w:sz w:val="18"/>
      <w:szCs w:val="18"/>
    </w:rPr>
  </w:style>
  <w:style w:type="character" w:customStyle="1" w:styleId="78">
    <w:name w:val="标题 1 字符"/>
    <w:basedOn w:val="60"/>
    <w:link w:val="2"/>
    <w:qFormat/>
    <w:uiPriority w:val="9"/>
    <w:rPr>
      <w:rFonts w:ascii="黑体" w:hAnsi="楷体_GB2312" w:eastAsia="黑体" w:cs="宋体"/>
      <w:kern w:val="0"/>
      <w:sz w:val="32"/>
      <w:szCs w:val="20"/>
    </w:rPr>
  </w:style>
  <w:style w:type="paragraph" w:customStyle="1" w:styleId="79">
    <w:name w:val="标题 1.11"/>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customStyle="1" w:styleId="80">
    <w:name w:val="标题 3 字符"/>
    <w:basedOn w:val="60"/>
    <w:qFormat/>
    <w:uiPriority w:val="0"/>
    <w:rPr>
      <w:b/>
      <w:bCs/>
      <w:sz w:val="32"/>
      <w:szCs w:val="32"/>
    </w:rPr>
  </w:style>
  <w:style w:type="character" w:customStyle="1" w:styleId="81">
    <w:name w:val="标题 4 字符"/>
    <w:basedOn w:val="60"/>
    <w:link w:val="5"/>
    <w:qFormat/>
    <w:uiPriority w:val="0"/>
    <w:rPr>
      <w:rFonts w:ascii="Arial" w:hAnsi="Arial" w:eastAsia="宋体" w:cs="Times New Roman"/>
      <w:b/>
      <w:bCs/>
      <w:sz w:val="28"/>
      <w:szCs w:val="28"/>
    </w:rPr>
  </w:style>
  <w:style w:type="character" w:customStyle="1" w:styleId="82">
    <w:name w:val="标题 5 字符"/>
    <w:basedOn w:val="60"/>
    <w:link w:val="6"/>
    <w:qFormat/>
    <w:uiPriority w:val="0"/>
    <w:rPr>
      <w:rFonts w:ascii="Times New Roman" w:hAnsi="Times New Roman" w:eastAsia="宋体" w:cs="Times New Roman"/>
      <w:b/>
      <w:bCs/>
      <w:sz w:val="28"/>
      <w:szCs w:val="28"/>
    </w:rPr>
  </w:style>
  <w:style w:type="character" w:customStyle="1" w:styleId="83">
    <w:name w:val="标题 6 字符"/>
    <w:basedOn w:val="60"/>
    <w:link w:val="7"/>
    <w:qFormat/>
    <w:uiPriority w:val="0"/>
    <w:rPr>
      <w:rFonts w:ascii="Arial" w:hAnsi="Arial" w:eastAsia="黑体" w:cs="Times New Roman"/>
      <w:b/>
      <w:sz w:val="24"/>
      <w:szCs w:val="20"/>
    </w:rPr>
  </w:style>
  <w:style w:type="character" w:customStyle="1" w:styleId="84">
    <w:name w:val="标题 7 字符"/>
    <w:basedOn w:val="60"/>
    <w:link w:val="9"/>
    <w:qFormat/>
    <w:uiPriority w:val="0"/>
    <w:rPr>
      <w:rFonts w:ascii="Times New Roman" w:hAnsi="Times New Roman" w:eastAsia="宋体" w:cs="Times New Roman"/>
      <w:b/>
      <w:sz w:val="24"/>
      <w:szCs w:val="20"/>
    </w:rPr>
  </w:style>
  <w:style w:type="character" w:customStyle="1" w:styleId="85">
    <w:name w:val="标题 8 字符"/>
    <w:basedOn w:val="60"/>
    <w:link w:val="10"/>
    <w:qFormat/>
    <w:uiPriority w:val="0"/>
    <w:rPr>
      <w:rFonts w:ascii="Arial" w:hAnsi="Arial" w:eastAsia="黑体" w:cs="Times New Roman"/>
      <w:sz w:val="24"/>
      <w:szCs w:val="20"/>
    </w:rPr>
  </w:style>
  <w:style w:type="character" w:customStyle="1" w:styleId="86">
    <w:name w:val="标题 9 字符"/>
    <w:basedOn w:val="60"/>
    <w:link w:val="11"/>
    <w:qFormat/>
    <w:uiPriority w:val="0"/>
    <w:rPr>
      <w:rFonts w:ascii="Arial" w:hAnsi="Arial" w:eastAsia="黑体" w:cs="Times New Roman"/>
      <w:szCs w:val="20"/>
    </w:rPr>
  </w:style>
  <w:style w:type="character" w:customStyle="1" w:styleId="87">
    <w:name w:val="标题 2 字符"/>
    <w:basedOn w:val="60"/>
    <w:link w:val="3"/>
    <w:qFormat/>
    <w:uiPriority w:val="9"/>
    <w:rPr>
      <w:rFonts w:ascii="Cambria" w:hAnsi="Cambria" w:eastAsia="宋体" w:cs="Times New Roman"/>
      <w:b/>
      <w:bCs/>
      <w:kern w:val="2"/>
      <w:sz w:val="32"/>
      <w:szCs w:val="32"/>
    </w:rPr>
  </w:style>
  <w:style w:type="paragraph" w:customStyle="1" w:styleId="88">
    <w:name w:val="文档结构图1"/>
    <w:basedOn w:val="1"/>
    <w:next w:val="18"/>
    <w:link w:val="89"/>
    <w:unhideWhenUsed/>
    <w:qFormat/>
    <w:uiPriority w:val="0"/>
    <w:rPr>
      <w:rFonts w:ascii="宋体" w:hAnsi="Calibri" w:cs="Times New Roman"/>
      <w:sz w:val="18"/>
      <w:szCs w:val="18"/>
    </w:rPr>
  </w:style>
  <w:style w:type="character" w:customStyle="1" w:styleId="89">
    <w:name w:val="文档结构图 字符"/>
    <w:basedOn w:val="60"/>
    <w:link w:val="88"/>
    <w:qFormat/>
    <w:uiPriority w:val="0"/>
    <w:rPr>
      <w:rFonts w:ascii="宋体" w:hAnsi="Calibri" w:cs="Times New Roman"/>
      <w:kern w:val="2"/>
      <w:sz w:val="18"/>
      <w:szCs w:val="18"/>
    </w:rPr>
  </w:style>
  <w:style w:type="paragraph" w:customStyle="1" w:styleId="90">
    <w:name w:val="批注文字1"/>
    <w:basedOn w:val="1"/>
    <w:next w:val="19"/>
    <w:link w:val="91"/>
    <w:unhideWhenUsed/>
    <w:qFormat/>
    <w:uiPriority w:val="0"/>
    <w:pPr>
      <w:jc w:val="left"/>
    </w:pPr>
    <w:rPr>
      <w:rFonts w:ascii="Calibri" w:hAnsi="Calibri" w:eastAsia="宋体" w:cs="Times New Roman"/>
    </w:rPr>
  </w:style>
  <w:style w:type="character" w:customStyle="1" w:styleId="91">
    <w:name w:val="批注文字 字符"/>
    <w:basedOn w:val="60"/>
    <w:link w:val="90"/>
    <w:qFormat/>
    <w:uiPriority w:val="0"/>
    <w:rPr>
      <w:rFonts w:ascii="Calibri" w:hAnsi="Calibri" w:eastAsia="宋体" w:cs="Times New Roman"/>
      <w:kern w:val="2"/>
      <w:sz w:val="21"/>
      <w:szCs w:val="22"/>
    </w:rPr>
  </w:style>
  <w:style w:type="paragraph" w:customStyle="1" w:styleId="92">
    <w:name w:val="目录 31"/>
    <w:basedOn w:val="1"/>
    <w:next w:val="1"/>
    <w:unhideWhenUsed/>
    <w:qFormat/>
    <w:uiPriority w:val="39"/>
    <w:pPr>
      <w:ind w:left="840" w:leftChars="400"/>
    </w:pPr>
  </w:style>
  <w:style w:type="character" w:customStyle="1" w:styleId="93">
    <w:name w:val="纯文本 字符"/>
    <w:basedOn w:val="60"/>
    <w:link w:val="28"/>
    <w:qFormat/>
    <w:uiPriority w:val="99"/>
    <w:rPr>
      <w:rFonts w:ascii="宋体" w:hAnsi="Courier New" w:eastAsia="宋体" w:cs="金山简魏碑"/>
      <w:szCs w:val="21"/>
    </w:rPr>
  </w:style>
  <w:style w:type="paragraph" w:customStyle="1" w:styleId="94">
    <w:name w:val="批注框文本1"/>
    <w:basedOn w:val="1"/>
    <w:next w:val="33"/>
    <w:link w:val="95"/>
    <w:unhideWhenUsed/>
    <w:qFormat/>
    <w:uiPriority w:val="0"/>
    <w:rPr>
      <w:rFonts w:ascii="Calibri" w:hAnsi="Calibri" w:eastAsia="宋体" w:cs="Times New Roman"/>
      <w:sz w:val="18"/>
      <w:szCs w:val="18"/>
    </w:rPr>
  </w:style>
  <w:style w:type="character" w:customStyle="1" w:styleId="95">
    <w:name w:val="批注框文本 字符"/>
    <w:basedOn w:val="60"/>
    <w:link w:val="94"/>
    <w:qFormat/>
    <w:uiPriority w:val="99"/>
    <w:rPr>
      <w:rFonts w:ascii="Calibri" w:hAnsi="Calibri" w:eastAsia="宋体" w:cs="Times New Roman"/>
      <w:kern w:val="2"/>
      <w:sz w:val="18"/>
      <w:szCs w:val="18"/>
    </w:rPr>
  </w:style>
  <w:style w:type="paragraph" w:customStyle="1" w:styleId="96">
    <w:name w:val="目录 21"/>
    <w:basedOn w:val="1"/>
    <w:next w:val="1"/>
    <w:unhideWhenUsed/>
    <w:qFormat/>
    <w:uiPriority w:val="39"/>
    <w:pPr>
      <w:ind w:left="420" w:leftChars="200"/>
    </w:pPr>
  </w:style>
  <w:style w:type="paragraph" w:customStyle="1" w:styleId="97">
    <w:name w:val="批注主题1"/>
    <w:basedOn w:val="19"/>
    <w:next w:val="19"/>
    <w:unhideWhenUsed/>
    <w:qFormat/>
    <w:uiPriority w:val="0"/>
    <w:rPr>
      <w:b/>
      <w:bCs/>
    </w:rPr>
  </w:style>
  <w:style w:type="character" w:customStyle="1" w:styleId="98">
    <w:name w:val="批注主题 字符"/>
    <w:basedOn w:val="91"/>
    <w:link w:val="55"/>
    <w:qFormat/>
    <w:uiPriority w:val="0"/>
    <w:rPr>
      <w:rFonts w:ascii="Calibri" w:hAnsi="Calibri" w:eastAsia="宋体" w:cs="Times New Roman"/>
      <w:b/>
      <w:bCs/>
      <w:kern w:val="2"/>
      <w:sz w:val="21"/>
      <w:szCs w:val="22"/>
    </w:rPr>
  </w:style>
  <w:style w:type="table" w:customStyle="1" w:styleId="99">
    <w:name w:val="网格型1"/>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0">
    <w:name w:val="已访问的超链接1"/>
    <w:basedOn w:val="60"/>
    <w:unhideWhenUsed/>
    <w:qFormat/>
    <w:uiPriority w:val="0"/>
    <w:rPr>
      <w:color w:val="800080"/>
      <w:u w:val="single"/>
    </w:rPr>
  </w:style>
  <w:style w:type="character" w:customStyle="1" w:styleId="101">
    <w:name w:val="纯文本 Char"/>
    <w:basedOn w:val="60"/>
    <w:qFormat/>
    <w:uiPriority w:val="0"/>
    <w:rPr>
      <w:rFonts w:ascii="宋体" w:hAnsi="Courier New" w:eastAsia="宋体" w:cs="Courier New"/>
      <w:szCs w:val="21"/>
    </w:rPr>
  </w:style>
  <w:style w:type="paragraph" w:customStyle="1" w:styleId="102">
    <w:name w:val="TOC 标题1"/>
    <w:basedOn w:val="2"/>
    <w:next w:val="1"/>
    <w:unhideWhenUsed/>
    <w:qFormat/>
    <w:uiPriority w:val="0"/>
    <w:pPr>
      <w:pageBreakBefore w:val="0"/>
      <w:widowControl/>
      <w:adjustRightInd/>
      <w:snapToGrid/>
      <w:spacing w:before="480" w:after="0" w:line="276" w:lineRule="auto"/>
      <w:jc w:val="left"/>
      <w:outlineLvl w:val="9"/>
    </w:pPr>
    <w:rPr>
      <w:rFonts w:ascii="Cambria" w:hAnsi="Cambria" w:eastAsia="宋体" w:cs="Times New Roman"/>
      <w:b/>
      <w:bCs/>
      <w:color w:val="365F91"/>
      <w:sz w:val="28"/>
      <w:szCs w:val="28"/>
    </w:rPr>
  </w:style>
  <w:style w:type="character" w:customStyle="1" w:styleId="103">
    <w:name w:val="纯文本 Char2"/>
    <w:qFormat/>
    <w:locked/>
    <w:uiPriority w:val="99"/>
    <w:rPr>
      <w:rFonts w:ascii="宋体" w:hAnsi="Courier New" w:eastAsia="宋体" w:cs="金山简魏碑"/>
      <w:szCs w:val="21"/>
    </w:rPr>
  </w:style>
  <w:style w:type="paragraph" w:customStyle="1" w:styleId="104">
    <w:name w:val="列出段落1"/>
    <w:basedOn w:val="1"/>
    <w:next w:val="105"/>
    <w:qFormat/>
    <w:uiPriority w:val="34"/>
    <w:pPr>
      <w:ind w:firstLine="420" w:firstLineChars="200"/>
    </w:pPr>
  </w:style>
  <w:style w:type="paragraph" w:customStyle="1" w:styleId="105">
    <w:name w:val="列表段落1"/>
    <w:basedOn w:val="1"/>
    <w:qFormat/>
    <w:uiPriority w:val="34"/>
    <w:pPr>
      <w:ind w:firstLine="420" w:firstLineChars="200"/>
    </w:pPr>
  </w:style>
  <w:style w:type="character" w:customStyle="1" w:styleId="106">
    <w:name w:val="Blockquote Char"/>
    <w:link w:val="107"/>
    <w:qFormat/>
    <w:uiPriority w:val="0"/>
    <w:rPr>
      <w:sz w:val="24"/>
    </w:rPr>
  </w:style>
  <w:style w:type="paragraph" w:customStyle="1" w:styleId="107">
    <w:name w:val="Blockquote"/>
    <w:basedOn w:val="1"/>
    <w:link w:val="106"/>
    <w:qFormat/>
    <w:uiPriority w:val="0"/>
    <w:pPr>
      <w:autoSpaceDE w:val="0"/>
      <w:autoSpaceDN w:val="0"/>
      <w:adjustRightInd w:val="0"/>
      <w:spacing w:before="100" w:after="100"/>
      <w:ind w:left="360" w:right="360"/>
      <w:jc w:val="left"/>
    </w:pPr>
    <w:rPr>
      <w:sz w:val="24"/>
    </w:rPr>
  </w:style>
  <w:style w:type="character" w:customStyle="1" w:styleId="108">
    <w:name w:val="Blockquote Char Char"/>
    <w:qFormat/>
    <w:uiPriority w:val="0"/>
    <w:rPr>
      <w:rFonts w:eastAsia="宋体"/>
      <w:sz w:val="24"/>
      <w:lang w:val="en-US" w:eastAsia="zh-CN" w:bidi="ar-SA"/>
    </w:rPr>
  </w:style>
  <w:style w:type="character" w:customStyle="1" w:styleId="109">
    <w:name w:val="正文文本缩进 字符2"/>
    <w:link w:val="24"/>
    <w:qFormat/>
    <w:locked/>
    <w:uiPriority w:val="0"/>
    <w:rPr>
      <w:sz w:val="24"/>
    </w:rPr>
  </w:style>
  <w:style w:type="character" w:customStyle="1" w:styleId="110">
    <w:name w:val="标题 2 Char"/>
    <w:qFormat/>
    <w:uiPriority w:val="0"/>
    <w:rPr>
      <w:rFonts w:ascii="Arial" w:hAnsi="Arial" w:eastAsia="黑体"/>
      <w:b/>
      <w:bCs/>
      <w:kern w:val="2"/>
      <w:sz w:val="32"/>
      <w:szCs w:val="32"/>
      <w:lang w:val="en-US" w:eastAsia="zh-CN" w:bidi="ar-SA"/>
    </w:rPr>
  </w:style>
  <w:style w:type="character" w:customStyle="1" w:styleId="111">
    <w:name w:val="普通文字 Char Char1"/>
    <w:qFormat/>
    <w:uiPriority w:val="0"/>
    <w:rPr>
      <w:rFonts w:ascii="宋体" w:hAnsi="Courier New" w:eastAsia="宋体" w:cs="Courier New"/>
      <w:kern w:val="2"/>
      <w:sz w:val="21"/>
      <w:szCs w:val="21"/>
      <w:lang w:val="en-US" w:eastAsia="zh-CN" w:bidi="ar-SA"/>
    </w:rPr>
  </w:style>
  <w:style w:type="character" w:customStyle="1" w:styleId="112">
    <w:name w:val="标题 3 字符2"/>
    <w:link w:val="4"/>
    <w:qFormat/>
    <w:uiPriority w:val="0"/>
    <w:rPr>
      <w:rFonts w:ascii="Arial Rounded MT Bold" w:hAnsi="Arial Rounded MT Bold" w:eastAsia="文鼎大标宋简" w:cs="Times New Roman"/>
      <w:spacing w:val="8"/>
      <w:kern w:val="0"/>
      <w:szCs w:val="20"/>
    </w:rPr>
  </w:style>
  <w:style w:type="character" w:customStyle="1" w:styleId="113">
    <w:name w:val="Char Char"/>
    <w:qFormat/>
    <w:uiPriority w:val="0"/>
    <w:rPr>
      <w:rFonts w:ascii="Arial Rounded MT Bold" w:hAnsi="Arial Rounded MT Bold" w:eastAsia="文鼎大标宋简"/>
      <w:spacing w:val="8"/>
      <w:sz w:val="21"/>
      <w:lang w:val="en-US" w:eastAsia="zh-CN" w:bidi="ar-SA"/>
    </w:rPr>
  </w:style>
  <w:style w:type="character" w:customStyle="1" w:styleId="114">
    <w:name w:val="Char Char1"/>
    <w:qFormat/>
    <w:uiPriority w:val="0"/>
    <w:rPr>
      <w:rFonts w:ascii="Arial Rounded MT Bold" w:hAnsi="Arial Rounded MT Bold" w:eastAsia="文鼎大标宋简"/>
      <w:spacing w:val="8"/>
      <w:sz w:val="21"/>
      <w:lang w:val="en-US" w:eastAsia="zh-CN" w:bidi="ar-SA"/>
    </w:rPr>
  </w:style>
  <w:style w:type="character" w:customStyle="1" w:styleId="115">
    <w:name w:val="普通文字 Char Char2"/>
    <w:qFormat/>
    <w:uiPriority w:val="0"/>
    <w:rPr>
      <w:rFonts w:ascii="宋体" w:hAnsi="Courier New" w:eastAsia="宋体" w:cs="Courier New"/>
      <w:kern w:val="2"/>
      <w:sz w:val="21"/>
      <w:szCs w:val="21"/>
      <w:lang w:val="en-US" w:eastAsia="zh-CN" w:bidi="ar-SA"/>
    </w:rPr>
  </w:style>
  <w:style w:type="paragraph" w:customStyle="1" w:styleId="116">
    <w:name w:val="表蕊"/>
    <w:basedOn w:val="1"/>
    <w:qFormat/>
    <w:uiPriority w:val="0"/>
    <w:pPr>
      <w:adjustRightInd w:val="0"/>
      <w:spacing w:line="320" w:lineRule="atLeast"/>
      <w:jc w:val="left"/>
      <w:textAlignment w:val="baseline"/>
    </w:pPr>
    <w:rPr>
      <w:rFonts w:ascii="Times New Roman" w:hAnsi="Times New Roman" w:eastAsia="楷体_GB2312" w:cs="Times New Roman"/>
      <w:spacing w:val="-10"/>
      <w:kern w:val="0"/>
      <w:szCs w:val="20"/>
    </w:rPr>
  </w:style>
  <w:style w:type="paragraph" w:customStyle="1" w:styleId="117">
    <w:name w:val="1"/>
    <w:basedOn w:val="24"/>
    <w:qFormat/>
    <w:uiPriority w:val="0"/>
    <w:pPr>
      <w:numPr>
        <w:ilvl w:val="0"/>
        <w:numId w:val="1"/>
      </w:numPr>
      <w:tabs>
        <w:tab w:val="clear" w:pos="1655"/>
      </w:tabs>
      <w:spacing w:before="156" w:beforeLines="50" w:line="460" w:lineRule="exact"/>
      <w:ind w:left="0" w:firstLine="482" w:firstLineChars="150"/>
    </w:pPr>
    <w:rPr>
      <w:rFonts w:eastAsia="楷体_GB2312"/>
      <w:b/>
      <w:bCs/>
      <w:sz w:val="32"/>
      <w:szCs w:val="24"/>
    </w:rPr>
  </w:style>
  <w:style w:type="paragraph" w:customStyle="1" w:styleId="118">
    <w:name w:val="样式 黑体 小二 居中 行距: 1.5 倍行距"/>
    <w:basedOn w:val="1"/>
    <w:qFormat/>
    <w:uiPriority w:val="0"/>
    <w:pPr>
      <w:spacing w:before="50" w:beforeLines="50" w:after="50" w:afterLines="50" w:line="360" w:lineRule="auto"/>
      <w:jc w:val="center"/>
    </w:pPr>
    <w:rPr>
      <w:rFonts w:ascii="黑体" w:hAnsi="Times New Roman" w:eastAsia="黑体" w:cs="宋体"/>
      <w:sz w:val="36"/>
      <w:szCs w:val="20"/>
    </w:rPr>
  </w:style>
  <w:style w:type="paragraph" w:customStyle="1" w:styleId="119">
    <w:name w:val="表头"/>
    <w:basedOn w:val="1"/>
    <w:qFormat/>
    <w:uiPriority w:val="0"/>
    <w:pPr>
      <w:adjustRightInd w:val="0"/>
      <w:snapToGrid w:val="0"/>
      <w:spacing w:line="320" w:lineRule="atLeast"/>
      <w:jc w:val="center"/>
      <w:textAlignment w:val="baseline"/>
    </w:pPr>
    <w:rPr>
      <w:rFonts w:ascii="Times New Roman" w:hAnsi="Times New Roman" w:eastAsia="黑体" w:cs="Times New Roman"/>
      <w:spacing w:val="-10"/>
      <w:kern w:val="0"/>
      <w:szCs w:val="20"/>
    </w:rPr>
  </w:style>
  <w:style w:type="character" w:customStyle="1" w:styleId="120">
    <w:name w:val="标题 字符"/>
    <w:basedOn w:val="60"/>
    <w:link w:val="54"/>
    <w:qFormat/>
    <w:uiPriority w:val="0"/>
    <w:rPr>
      <w:rFonts w:ascii="Arial" w:hAnsi="Arial" w:eastAsia="宋体" w:cs="Arial"/>
      <w:b/>
      <w:bCs/>
      <w:sz w:val="32"/>
      <w:szCs w:val="32"/>
    </w:rPr>
  </w:style>
  <w:style w:type="paragraph" w:customStyle="1" w:styleId="121">
    <w:name w:val="格式2"/>
    <w:basedOn w:val="1"/>
    <w:qFormat/>
    <w:uiPriority w:val="0"/>
    <w:pPr>
      <w:spacing w:before="120" w:beforeLines="50"/>
    </w:pPr>
    <w:rPr>
      <w:rFonts w:ascii="黑体" w:hAnsi="宋体" w:eastAsia="黑体" w:cs="Times New Roman"/>
      <w:b/>
      <w:bCs/>
      <w:color w:val="000000"/>
      <w:sz w:val="28"/>
      <w:szCs w:val="20"/>
    </w:rPr>
  </w:style>
  <w:style w:type="paragraph" w:customStyle="1" w:styleId="122">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23">
    <w:name w:val="_Style 32"/>
    <w:basedOn w:val="1"/>
    <w:next w:val="28"/>
    <w:qFormat/>
    <w:uiPriority w:val="0"/>
    <w:rPr>
      <w:rFonts w:ascii="宋体" w:hAnsi="Courier New" w:eastAsia="宋体" w:cs="Courier New"/>
      <w:szCs w:val="21"/>
    </w:rPr>
  </w:style>
  <w:style w:type="paragraph" w:customStyle="1" w:styleId="124">
    <w:name w:val="2"/>
    <w:basedOn w:val="1"/>
    <w:qFormat/>
    <w:uiPriority w:val="0"/>
    <w:pPr>
      <w:numPr>
        <w:ilvl w:val="1"/>
        <w:numId w:val="1"/>
      </w:numPr>
      <w:spacing w:line="460" w:lineRule="exact"/>
    </w:pPr>
    <w:rPr>
      <w:rFonts w:ascii="Times New Roman" w:hAnsi="Times New Roman" w:eastAsia="宋体" w:cs="Times New Roman"/>
      <w:sz w:val="28"/>
      <w:szCs w:val="24"/>
    </w:rPr>
  </w:style>
  <w:style w:type="paragraph" w:customStyle="1" w:styleId="125">
    <w:name w:val="xl27"/>
    <w:basedOn w:val="1"/>
    <w:qFormat/>
    <w:uiPriority w:val="0"/>
    <w:pPr>
      <w:widowControl/>
      <w:spacing w:before="100" w:beforeAutospacing="1" w:after="100" w:afterAutospacing="1"/>
      <w:jc w:val="center"/>
    </w:pPr>
    <w:rPr>
      <w:rFonts w:ascii="宋体" w:hAnsi="宋体" w:eastAsia="宋体" w:cs="Times New Roman"/>
      <w:b/>
      <w:bCs/>
      <w:kern w:val="0"/>
      <w:sz w:val="40"/>
      <w:szCs w:val="40"/>
    </w:rPr>
  </w:style>
  <w:style w:type="paragraph" w:customStyle="1" w:styleId="126">
    <w:name w:val="xl35"/>
    <w:basedOn w:val="1"/>
    <w:qFormat/>
    <w:uiPriority w:val="0"/>
    <w:pPr>
      <w:widowControl/>
      <w:pBdr>
        <w:top w:val="single" w:color="auto" w:sz="4" w:space="0"/>
      </w:pBdr>
      <w:spacing w:before="100" w:beforeAutospacing="1" w:after="100" w:afterAutospacing="1"/>
      <w:jc w:val="left"/>
      <w:textAlignment w:val="center"/>
    </w:pPr>
    <w:rPr>
      <w:rFonts w:ascii="宋体" w:hAnsi="宋体" w:eastAsia="宋体" w:cs="Times New Roman"/>
      <w:kern w:val="0"/>
      <w:sz w:val="24"/>
      <w:szCs w:val="24"/>
    </w:rPr>
  </w:style>
  <w:style w:type="paragraph" w:customStyle="1" w:styleId="127">
    <w:name w:val="xl37"/>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128">
    <w:name w:val="格式1"/>
    <w:basedOn w:val="1"/>
    <w:qFormat/>
    <w:uiPriority w:val="0"/>
    <w:pPr>
      <w:spacing w:before="120" w:beforeLines="50"/>
      <w:jc w:val="center"/>
    </w:pPr>
    <w:rPr>
      <w:rFonts w:ascii="黑体" w:hAnsi="宋体" w:eastAsia="黑体" w:cs="Times New Roman"/>
      <w:b/>
      <w:bCs/>
      <w:color w:val="000000"/>
      <w:sz w:val="32"/>
      <w:szCs w:val="20"/>
    </w:rPr>
  </w:style>
  <w:style w:type="paragraph" w:customStyle="1" w:styleId="12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30">
    <w:name w:val="样式3"/>
    <w:basedOn w:val="131"/>
    <w:next w:val="131"/>
    <w:qFormat/>
    <w:uiPriority w:val="0"/>
    <w:pPr>
      <w:ind w:firstLine="0" w:firstLineChars="0"/>
      <w:jc w:val="left"/>
    </w:pPr>
    <w:rPr>
      <w:b/>
    </w:rPr>
  </w:style>
  <w:style w:type="paragraph" w:customStyle="1" w:styleId="131">
    <w:name w:val="样式2"/>
    <w:basedOn w:val="1"/>
    <w:qFormat/>
    <w:uiPriority w:val="0"/>
    <w:pPr>
      <w:ind w:firstLine="200" w:firstLineChars="200"/>
    </w:pPr>
    <w:rPr>
      <w:rFonts w:ascii="Times New Roman" w:hAnsi="Times New Roman" w:eastAsia="仿宋_GB2312" w:cs="Times New Roman"/>
      <w:sz w:val="28"/>
      <w:szCs w:val="24"/>
    </w:rPr>
  </w:style>
  <w:style w:type="paragraph" w:customStyle="1" w:styleId="132">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character" w:customStyle="1" w:styleId="133">
    <w:name w:val="正文文本 2 字符"/>
    <w:basedOn w:val="60"/>
    <w:link w:val="50"/>
    <w:qFormat/>
    <w:uiPriority w:val="0"/>
    <w:rPr>
      <w:rFonts w:ascii="Times New Roman" w:hAnsi="Times New Roman" w:eastAsia="宋体" w:cs="Times New Roman"/>
      <w:szCs w:val="24"/>
    </w:rPr>
  </w:style>
  <w:style w:type="paragraph" w:customStyle="1" w:styleId="134">
    <w:name w:val="Char1 Char Char Char Char Char Char"/>
    <w:basedOn w:val="1"/>
    <w:qFormat/>
    <w:uiPriority w:val="0"/>
    <w:rPr>
      <w:rFonts w:ascii="Tahoma" w:hAnsi="Tahoma" w:eastAsia="宋体" w:cs="Times New Roman"/>
      <w:sz w:val="24"/>
      <w:szCs w:val="20"/>
    </w:rPr>
  </w:style>
  <w:style w:type="character" w:customStyle="1" w:styleId="135">
    <w:name w:val="注释标题 字符"/>
    <w:basedOn w:val="60"/>
    <w:link w:val="14"/>
    <w:qFormat/>
    <w:uiPriority w:val="0"/>
    <w:rPr>
      <w:rFonts w:ascii="Times New Roman" w:hAnsi="Times New Roman" w:eastAsia="楷体_GB2312" w:cs="Times New Roman"/>
      <w:spacing w:val="8"/>
      <w:kern w:val="0"/>
      <w:sz w:val="28"/>
      <w:szCs w:val="20"/>
    </w:rPr>
  </w:style>
  <w:style w:type="paragraph" w:customStyle="1" w:styleId="136">
    <w:name w:val="行文"/>
    <w:basedOn w:val="1"/>
    <w:qFormat/>
    <w:uiPriority w:val="0"/>
    <w:pPr>
      <w:adjustRightInd w:val="0"/>
      <w:spacing w:line="480" w:lineRule="exact"/>
      <w:ind w:firstLine="624"/>
      <w:textAlignment w:val="baseline"/>
    </w:pPr>
    <w:rPr>
      <w:rFonts w:ascii="Times New Roman" w:hAnsi="Times New Roman" w:eastAsia="仿宋_GB2312" w:cs="Times New Roman"/>
      <w:spacing w:val="8"/>
      <w:kern w:val="0"/>
      <w:sz w:val="30"/>
      <w:szCs w:val="20"/>
    </w:rPr>
  </w:style>
  <w:style w:type="paragraph" w:customStyle="1" w:styleId="137">
    <w:name w:val="样式1"/>
    <w:basedOn w:val="54"/>
    <w:next w:val="131"/>
    <w:qFormat/>
    <w:uiPriority w:val="0"/>
    <w:pPr>
      <w:spacing w:line="480" w:lineRule="auto"/>
    </w:pPr>
    <w:rPr>
      <w:rFonts w:ascii="Times New Roman" w:hAnsi="Times New Roman" w:eastAsia="仿宋_GB2312"/>
      <w:sz w:val="36"/>
    </w:rPr>
  </w:style>
  <w:style w:type="character" w:customStyle="1" w:styleId="138">
    <w:name w:val="正文文本缩进 3 字符"/>
    <w:basedOn w:val="60"/>
    <w:link w:val="44"/>
    <w:qFormat/>
    <w:uiPriority w:val="0"/>
    <w:rPr>
      <w:rFonts w:ascii="Times New Roman" w:hAnsi="Times New Roman" w:eastAsia="宋体" w:cs="Times New Roman"/>
      <w:sz w:val="24"/>
      <w:szCs w:val="20"/>
    </w:rPr>
  </w:style>
  <w:style w:type="paragraph" w:customStyle="1" w:styleId="139">
    <w:name w:val="字元 字元 Char Char"/>
    <w:basedOn w:val="18"/>
    <w:qFormat/>
    <w:uiPriority w:val="0"/>
    <w:pPr>
      <w:shd w:val="clear" w:color="auto" w:fill="000080"/>
      <w:adjustRightInd w:val="0"/>
      <w:spacing w:line="436" w:lineRule="exact"/>
      <w:ind w:left="357"/>
      <w:jc w:val="left"/>
      <w:outlineLvl w:val="3"/>
    </w:pPr>
    <w:rPr>
      <w:rFonts w:ascii="Tahoma" w:hAnsi="Tahoma" w:eastAsia="宋体" w:cs="Times New Roman"/>
      <w:b/>
      <w:sz w:val="24"/>
      <w:szCs w:val="24"/>
    </w:rPr>
  </w:style>
  <w:style w:type="paragraph" w:customStyle="1" w:styleId="140">
    <w:name w:val="xl33"/>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character" w:customStyle="1" w:styleId="141">
    <w:name w:val="日期 字符"/>
    <w:basedOn w:val="60"/>
    <w:link w:val="31"/>
    <w:qFormat/>
    <w:uiPriority w:val="99"/>
    <w:rPr>
      <w:rFonts w:ascii="Times New Roman" w:hAnsi="Times New Roman" w:eastAsia="宋体" w:cs="Times New Roman"/>
      <w:szCs w:val="24"/>
    </w:rPr>
  </w:style>
  <w:style w:type="paragraph" w:customStyle="1" w:styleId="142">
    <w:name w:val="xl29"/>
    <w:basedOn w:val="1"/>
    <w:qFormat/>
    <w:uiPriority w:val="0"/>
    <w:pPr>
      <w:widowControl/>
      <w:pBdr>
        <w:bottom w:val="single" w:color="auto" w:sz="4" w:space="0"/>
      </w:pBdr>
      <w:spacing w:before="100" w:beforeAutospacing="1" w:after="100" w:afterAutospacing="1"/>
      <w:jc w:val="left"/>
    </w:pPr>
    <w:rPr>
      <w:rFonts w:ascii="宋体" w:hAnsi="宋体" w:eastAsia="宋体" w:cs="Times New Roman"/>
      <w:kern w:val="0"/>
      <w:sz w:val="28"/>
      <w:szCs w:val="28"/>
    </w:rPr>
  </w:style>
  <w:style w:type="character" w:customStyle="1" w:styleId="143">
    <w:name w:val="正文文本 字符"/>
    <w:basedOn w:val="60"/>
    <w:link w:val="23"/>
    <w:qFormat/>
    <w:uiPriority w:val="0"/>
    <w:rPr>
      <w:rFonts w:ascii="宋体" w:hAnsi="Times New Roman" w:eastAsia="宋体" w:cs="Times New Roman"/>
      <w:sz w:val="28"/>
      <w:szCs w:val="20"/>
    </w:rPr>
  </w:style>
  <w:style w:type="paragraph" w:customStyle="1" w:styleId="144">
    <w:name w:val="myfont1"/>
    <w:basedOn w:val="1"/>
    <w:qFormat/>
    <w:uiPriority w:val="0"/>
    <w:pPr>
      <w:widowControl/>
      <w:spacing w:before="100" w:beforeAutospacing="1" w:after="100" w:afterAutospacing="1"/>
      <w:jc w:val="left"/>
    </w:pPr>
    <w:rPr>
      <w:rFonts w:ascii="Arial Unicode MS" w:hAnsi="Arial Unicode MS" w:eastAsia="Arial Unicode MS" w:cs="Times New Roman"/>
      <w:color w:val="000000"/>
      <w:kern w:val="0"/>
      <w:sz w:val="24"/>
      <w:szCs w:val="24"/>
    </w:rPr>
  </w:style>
  <w:style w:type="paragraph" w:customStyle="1" w:styleId="145">
    <w:name w:val="格式4"/>
    <w:basedOn w:val="1"/>
    <w:qFormat/>
    <w:uiPriority w:val="0"/>
    <w:pPr>
      <w:spacing w:line="420" w:lineRule="exact"/>
      <w:ind w:left="990" w:leftChars="300" w:hanging="360" w:hangingChars="150"/>
    </w:pPr>
    <w:rPr>
      <w:rFonts w:ascii="宋体" w:hAnsi="宋体" w:eastAsia="宋体" w:cs="Times New Roman"/>
      <w:color w:val="000000"/>
      <w:sz w:val="24"/>
      <w:szCs w:val="20"/>
    </w:rPr>
  </w:style>
  <w:style w:type="paragraph" w:customStyle="1" w:styleId="146">
    <w:name w:val="表格标题"/>
    <w:basedOn w:val="1"/>
    <w:qFormat/>
    <w:uiPriority w:val="0"/>
    <w:pPr>
      <w:adjustRightInd w:val="0"/>
      <w:spacing w:before="120" w:line="400" w:lineRule="exact"/>
      <w:jc w:val="center"/>
      <w:textAlignment w:val="baseline"/>
    </w:pPr>
    <w:rPr>
      <w:rFonts w:ascii="Times New Roman" w:hAnsi="Times New Roman" w:eastAsia="文鼎CS中宋" w:cs="Times New Roman"/>
      <w:spacing w:val="8"/>
      <w:kern w:val="0"/>
      <w:sz w:val="24"/>
      <w:szCs w:val="20"/>
    </w:rPr>
  </w:style>
  <w:style w:type="character" w:customStyle="1" w:styleId="147">
    <w:name w:val="正文文本缩进 2 字符"/>
    <w:basedOn w:val="60"/>
    <w:link w:val="32"/>
    <w:qFormat/>
    <w:uiPriority w:val="0"/>
    <w:rPr>
      <w:rFonts w:ascii="宋体" w:hAnsi="Times New Roman" w:eastAsia="宋体" w:cs="Times New Roman"/>
      <w:sz w:val="24"/>
      <w:szCs w:val="20"/>
    </w:rPr>
  </w:style>
  <w:style w:type="character" w:customStyle="1" w:styleId="148">
    <w:name w:val="正文文本缩进 字符"/>
    <w:basedOn w:val="60"/>
    <w:qFormat/>
    <w:uiPriority w:val="99"/>
  </w:style>
  <w:style w:type="character" w:customStyle="1" w:styleId="149">
    <w:name w:val="正文文本 3 字符"/>
    <w:basedOn w:val="60"/>
    <w:link w:val="22"/>
    <w:qFormat/>
    <w:uiPriority w:val="0"/>
    <w:rPr>
      <w:rFonts w:ascii="Times New Roman" w:hAnsi="Times New Roman" w:eastAsia="宋体" w:cs="Times New Roman"/>
      <w:sz w:val="16"/>
      <w:szCs w:val="16"/>
    </w:rPr>
  </w:style>
  <w:style w:type="paragraph" w:customStyle="1" w:styleId="150">
    <w:name w:val="font6"/>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51">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152">
    <w:name w:val="默认段落字体 Para Char Char Char Char"/>
    <w:basedOn w:val="1"/>
    <w:qFormat/>
    <w:uiPriority w:val="0"/>
    <w:rPr>
      <w:rFonts w:ascii="Times New Roman" w:hAnsi="Times New Roman" w:eastAsia="宋体" w:cs="Times New Roman"/>
      <w:szCs w:val="24"/>
    </w:rPr>
  </w:style>
  <w:style w:type="paragraph" w:customStyle="1" w:styleId="153">
    <w:name w:val="格式３"/>
    <w:basedOn w:val="1"/>
    <w:qFormat/>
    <w:uiPriority w:val="0"/>
    <w:pPr>
      <w:spacing w:line="420" w:lineRule="exact"/>
      <w:ind w:left="600" w:hanging="600" w:hangingChars="250"/>
    </w:pPr>
    <w:rPr>
      <w:rFonts w:ascii="宋体" w:hAnsi="宋体" w:eastAsia="宋体" w:cs="Times New Roman"/>
      <w:color w:val="000000"/>
      <w:sz w:val="24"/>
      <w:szCs w:val="20"/>
    </w:rPr>
  </w:style>
  <w:style w:type="paragraph" w:customStyle="1" w:styleId="154">
    <w:name w:val="Char Char Char Char"/>
    <w:basedOn w:val="1"/>
    <w:qFormat/>
    <w:uiPriority w:val="0"/>
    <w:rPr>
      <w:rFonts w:ascii="Times New Roman" w:hAnsi="Times New Roman" w:eastAsia="宋体" w:cs="Times New Roman"/>
      <w:szCs w:val="24"/>
    </w:rPr>
  </w:style>
  <w:style w:type="paragraph" w:customStyle="1" w:styleId="155">
    <w:name w:val="xl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56">
    <w:name w:val="xl24"/>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paragraph" w:customStyle="1" w:styleId="157">
    <w:name w:val="font7"/>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158">
    <w:name w:val="Char"/>
    <w:basedOn w:val="1"/>
    <w:qFormat/>
    <w:uiPriority w:val="0"/>
    <w:rPr>
      <w:rFonts w:ascii="Times New Roman" w:hAnsi="Times New Roman" w:eastAsia="宋体" w:cs="Times New Roman"/>
      <w:szCs w:val="24"/>
    </w:rPr>
  </w:style>
  <w:style w:type="paragraph" w:customStyle="1" w:styleId="159">
    <w:name w:val="3"/>
    <w:basedOn w:val="1"/>
    <w:next w:val="28"/>
    <w:qFormat/>
    <w:uiPriority w:val="0"/>
    <w:rPr>
      <w:rFonts w:ascii="宋体" w:hAnsi="Courier New" w:eastAsia="宋体" w:cs="Courier New"/>
      <w:szCs w:val="21"/>
    </w:rPr>
  </w:style>
  <w:style w:type="paragraph" w:customStyle="1" w:styleId="160">
    <w:name w:val="样式 标题 2 + Times New Roman 四号 非加粗 段前: 5 磅 段后: 0 磅 行距: 固定值 20..."/>
    <w:basedOn w:val="3"/>
    <w:qFormat/>
    <w:uiPriority w:val="0"/>
  </w:style>
  <w:style w:type="paragraph" w:customStyle="1" w:styleId="161">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8"/>
      <w:szCs w:val="28"/>
    </w:rPr>
  </w:style>
  <w:style w:type="paragraph" w:customStyle="1" w:styleId="163">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64">
    <w:name w:val="xl3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65">
    <w:name w:val="xl34"/>
    <w:basedOn w:val="1"/>
    <w:qFormat/>
    <w:uiPriority w:val="0"/>
    <w:pPr>
      <w:widowControl/>
      <w:pBdr>
        <w:top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66">
    <w:name w:val="格式10"/>
    <w:basedOn w:val="1"/>
    <w:qFormat/>
    <w:uiPriority w:val="0"/>
    <w:pPr>
      <w:spacing w:line="360" w:lineRule="exact"/>
      <w:ind w:left="480"/>
    </w:pPr>
    <w:rPr>
      <w:rFonts w:ascii="Times New Roman" w:hAnsi="Times New Roman" w:eastAsia="宋体" w:cs="Times New Roman"/>
      <w:sz w:val="24"/>
      <w:szCs w:val="24"/>
    </w:rPr>
  </w:style>
  <w:style w:type="paragraph" w:customStyle="1" w:styleId="167">
    <w:name w:val="样式 宋体 小四 首行缩进:  0.99 厘米 行距: 固定值 30 磅"/>
    <w:basedOn w:val="1"/>
    <w:qFormat/>
    <w:uiPriority w:val="0"/>
    <w:pPr>
      <w:spacing w:line="600" w:lineRule="exact"/>
      <w:ind w:firstLine="560"/>
    </w:pPr>
    <w:rPr>
      <w:rFonts w:ascii="宋体" w:hAnsi="宋体" w:eastAsia="宋体" w:cs="宋体"/>
      <w:sz w:val="28"/>
      <w:szCs w:val="20"/>
    </w:rPr>
  </w:style>
  <w:style w:type="paragraph" w:customStyle="1" w:styleId="168">
    <w:name w:val="Char Char Char1 Char"/>
    <w:basedOn w:val="1"/>
    <w:qFormat/>
    <w:uiPriority w:val="0"/>
    <w:rPr>
      <w:rFonts w:ascii="Times New Roman" w:hAnsi="Times New Roman" w:eastAsia="宋体" w:cs="Times New Roman"/>
      <w:szCs w:val="24"/>
    </w:rPr>
  </w:style>
  <w:style w:type="table" w:customStyle="1" w:styleId="169">
    <w:name w:val="网格型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0">
    <w:name w:val="脚注文本 字符2"/>
    <w:link w:val="42"/>
    <w:qFormat/>
    <w:uiPriority w:val="0"/>
    <w:rPr>
      <w:sz w:val="18"/>
      <w:szCs w:val="18"/>
    </w:rPr>
  </w:style>
  <w:style w:type="character" w:customStyle="1" w:styleId="171">
    <w:name w:val="脚注文本 字符"/>
    <w:basedOn w:val="60"/>
    <w:semiHidden/>
    <w:qFormat/>
    <w:uiPriority w:val="99"/>
    <w:rPr>
      <w:sz w:val="18"/>
      <w:szCs w:val="18"/>
    </w:rPr>
  </w:style>
  <w:style w:type="character" w:customStyle="1" w:styleId="172">
    <w:name w:val="脚注文本 Char1"/>
    <w:qFormat/>
    <w:uiPriority w:val="0"/>
    <w:rPr>
      <w:kern w:val="2"/>
      <w:sz w:val="18"/>
      <w:szCs w:val="18"/>
    </w:rPr>
  </w:style>
  <w:style w:type="character" w:customStyle="1" w:styleId="173">
    <w:name w:val="批注文字 Char"/>
    <w:qFormat/>
    <w:locked/>
    <w:uiPriority w:val="0"/>
    <w:rPr>
      <w:kern w:val="2"/>
      <w:sz w:val="21"/>
      <w:szCs w:val="24"/>
      <w:lang w:val="zh-CN" w:eastAsia="zh-CN"/>
    </w:rPr>
  </w:style>
  <w:style w:type="character" w:customStyle="1" w:styleId="174">
    <w:name w:val="标题 2 Char1"/>
    <w:qFormat/>
    <w:locked/>
    <w:uiPriority w:val="0"/>
    <w:rPr>
      <w:rFonts w:ascii="Arial" w:hAnsi="Arial" w:eastAsia="黑体"/>
      <w:b/>
      <w:bCs/>
      <w:kern w:val="2"/>
      <w:sz w:val="32"/>
      <w:szCs w:val="32"/>
      <w:lang w:val="zh-CN" w:eastAsia="zh-CN"/>
    </w:rPr>
  </w:style>
  <w:style w:type="character" w:customStyle="1" w:styleId="175">
    <w:name w:val="样式 Char"/>
    <w:link w:val="176"/>
    <w:qFormat/>
    <w:uiPriority w:val="0"/>
    <w:rPr>
      <w:rFonts w:ascii="宋体" w:hAnsi="宋体" w:cs="宋体"/>
      <w:sz w:val="24"/>
      <w:szCs w:val="24"/>
    </w:rPr>
  </w:style>
  <w:style w:type="paragraph" w:customStyle="1" w:styleId="176">
    <w:name w:val="样式"/>
    <w:link w:val="175"/>
    <w:qFormat/>
    <w:uiPriority w:val="99"/>
    <w:pPr>
      <w:widowControl w:val="0"/>
      <w:autoSpaceDE w:val="0"/>
      <w:autoSpaceDN w:val="0"/>
      <w:adjustRightInd w:val="0"/>
    </w:pPr>
    <w:rPr>
      <w:rFonts w:ascii="宋体" w:hAnsi="宋体" w:cs="宋体" w:eastAsiaTheme="minorEastAsia"/>
      <w:kern w:val="2"/>
      <w:sz w:val="24"/>
      <w:szCs w:val="24"/>
      <w:lang w:val="en-US" w:eastAsia="zh-CN" w:bidi="ar-SA"/>
    </w:rPr>
  </w:style>
  <w:style w:type="paragraph" w:customStyle="1" w:styleId="177">
    <w:name w:val="Table Paragraph"/>
    <w:basedOn w:val="1"/>
    <w:qFormat/>
    <w:uiPriority w:val="1"/>
    <w:pPr>
      <w:autoSpaceDE w:val="0"/>
      <w:autoSpaceDN w:val="0"/>
      <w:adjustRightInd w:val="0"/>
      <w:jc w:val="left"/>
    </w:pPr>
    <w:rPr>
      <w:rFonts w:ascii="Times New Roman" w:hAnsi="Times New Roman" w:eastAsia="宋体" w:cs="Times New Roman"/>
      <w:kern w:val="0"/>
      <w:sz w:val="24"/>
      <w:szCs w:val="24"/>
    </w:rPr>
  </w:style>
  <w:style w:type="character" w:customStyle="1" w:styleId="178">
    <w:name w:val="标题 1 Char"/>
    <w:qFormat/>
    <w:uiPriority w:val="0"/>
    <w:rPr>
      <w:b/>
      <w:bCs/>
      <w:kern w:val="44"/>
      <w:sz w:val="44"/>
      <w:szCs w:val="44"/>
      <w:lang w:val="zh-CN" w:eastAsia="zh-CN"/>
    </w:rPr>
  </w:style>
  <w:style w:type="paragraph" w:customStyle="1" w:styleId="179">
    <w:name w:val="表格附注"/>
    <w:qFormat/>
    <w:uiPriority w:val="0"/>
    <w:pPr>
      <w:ind w:left="360" w:hanging="360" w:hangingChars="200"/>
    </w:pPr>
    <w:rPr>
      <w:rFonts w:ascii="Calibri" w:hAnsi="Calibri" w:eastAsia="宋体" w:cs="Times New Roman"/>
      <w:kern w:val="2"/>
      <w:sz w:val="18"/>
      <w:szCs w:val="22"/>
      <w:lang w:val="en-US" w:eastAsia="zh-CN" w:bidi="ar-SA"/>
    </w:rPr>
  </w:style>
  <w:style w:type="paragraph" w:customStyle="1" w:styleId="180">
    <w:name w:val="表格内容"/>
    <w:basedOn w:val="1"/>
    <w:qFormat/>
    <w:uiPriority w:val="0"/>
    <w:pPr>
      <w:jc w:val="center"/>
    </w:pPr>
    <w:rPr>
      <w:rFonts w:ascii="Times New Roman" w:hAnsi="Times New Roman" w:eastAsia="宋体" w:cs="Times New Roman"/>
      <w:kern w:val="0"/>
      <w:sz w:val="18"/>
      <w:szCs w:val="18"/>
    </w:rPr>
  </w:style>
  <w:style w:type="paragraph" w:customStyle="1" w:styleId="181">
    <w:name w:val="表格内容两端对齐"/>
    <w:basedOn w:val="180"/>
    <w:qFormat/>
    <w:uiPriority w:val="0"/>
    <w:pPr>
      <w:widowControl/>
      <w:jc w:val="both"/>
    </w:pPr>
    <w:rPr>
      <w:kern w:val="24"/>
    </w:rPr>
  </w:style>
  <w:style w:type="paragraph" w:customStyle="1" w:styleId="182">
    <w:name w:val="说明正文"/>
    <w:basedOn w:val="1"/>
    <w:qFormat/>
    <w:uiPriority w:val="0"/>
    <w:pPr>
      <w:ind w:firstLine="480"/>
    </w:pPr>
    <w:rPr>
      <w:rFonts w:ascii="Times New Roman" w:hAnsi="Times New Roman" w:eastAsia="宋体" w:cs="Times New Roman"/>
      <w:szCs w:val="24"/>
    </w:rPr>
  </w:style>
  <w:style w:type="paragraph" w:customStyle="1" w:styleId="183">
    <w:name w:val="表题"/>
    <w:basedOn w:val="1"/>
    <w:qFormat/>
    <w:uiPriority w:val="0"/>
    <w:pPr>
      <w:jc w:val="center"/>
    </w:pPr>
    <w:rPr>
      <w:rFonts w:ascii="Times New Roman" w:hAnsi="Times New Roman" w:eastAsia="宋体" w:cs="Times New Roman"/>
      <w:b/>
      <w:kern w:val="0"/>
      <w:szCs w:val="24"/>
    </w:rPr>
  </w:style>
  <w:style w:type="paragraph" w:customStyle="1" w:styleId="184">
    <w:name w:val="标题 91"/>
    <w:basedOn w:val="1"/>
    <w:qFormat/>
    <w:uiPriority w:val="1"/>
    <w:pPr>
      <w:autoSpaceDE w:val="0"/>
      <w:autoSpaceDN w:val="0"/>
      <w:adjustRightInd w:val="0"/>
      <w:ind w:left="113"/>
      <w:jc w:val="left"/>
      <w:outlineLvl w:val="8"/>
    </w:pPr>
    <w:rPr>
      <w:rFonts w:ascii="宋体" w:hAnsi="Times New Roman" w:eastAsia="宋体" w:cs="宋体"/>
      <w:b/>
      <w:bCs/>
      <w:kern w:val="0"/>
      <w:sz w:val="24"/>
      <w:szCs w:val="24"/>
    </w:rPr>
  </w:style>
  <w:style w:type="paragraph" w:customStyle="1" w:styleId="185">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87">
    <w:name w:val="fontstyle01"/>
    <w:qFormat/>
    <w:uiPriority w:val="0"/>
    <w:rPr>
      <w:rFonts w:hint="eastAsia" w:ascii="黑体" w:hAnsi="黑体" w:eastAsia="黑体"/>
      <w:color w:val="000000"/>
      <w:sz w:val="24"/>
      <w:szCs w:val="24"/>
    </w:rPr>
  </w:style>
  <w:style w:type="character" w:customStyle="1" w:styleId="188">
    <w:name w:val="fontstyle11"/>
    <w:qFormat/>
    <w:uiPriority w:val="0"/>
    <w:rPr>
      <w:rFonts w:hint="eastAsia" w:ascii="宋体" w:hAnsi="宋体" w:eastAsia="宋体"/>
      <w:color w:val="000000"/>
      <w:sz w:val="24"/>
      <w:szCs w:val="24"/>
    </w:rPr>
  </w:style>
  <w:style w:type="character" w:customStyle="1" w:styleId="189">
    <w:name w:val="fontstyle31"/>
    <w:qFormat/>
    <w:uiPriority w:val="0"/>
    <w:rPr>
      <w:rFonts w:hint="default" w:ascii="Times New Roman" w:hAnsi="Times New Roman" w:cs="Times New Roman"/>
      <w:color w:val="000000"/>
      <w:sz w:val="24"/>
      <w:szCs w:val="24"/>
    </w:rPr>
  </w:style>
  <w:style w:type="character" w:customStyle="1" w:styleId="190">
    <w:name w:val="fontstyle21"/>
    <w:qFormat/>
    <w:uiPriority w:val="0"/>
    <w:rPr>
      <w:rFonts w:hint="default" w:ascii="Times New Roman" w:hAnsi="Times New Roman" w:cs="Times New Roman"/>
      <w:color w:val="000000"/>
      <w:sz w:val="24"/>
      <w:szCs w:val="24"/>
    </w:rPr>
  </w:style>
  <w:style w:type="paragraph" w:customStyle="1" w:styleId="191">
    <w:name w:val="示范文本目录"/>
    <w:basedOn w:val="1"/>
    <w:qFormat/>
    <w:uiPriority w:val="0"/>
    <w:pPr>
      <w:adjustRightInd w:val="0"/>
      <w:snapToGrid w:val="0"/>
      <w:spacing w:beforeLines="50" w:line="360" w:lineRule="auto"/>
      <w:ind w:firstLine="640" w:firstLineChars="200"/>
    </w:pPr>
    <w:rPr>
      <w:rFonts w:ascii="仿宋_GB2312" w:hAnsi="仿宋_GB2312" w:eastAsia="仿宋_GB2312" w:cs="Calibri"/>
      <w:b/>
      <w:sz w:val="24"/>
      <w:szCs w:val="21"/>
    </w:rPr>
  </w:style>
  <w:style w:type="paragraph" w:customStyle="1" w:styleId="192">
    <w:name w:val="TOC 标题2"/>
    <w:basedOn w:val="2"/>
    <w:next w:val="1"/>
    <w:unhideWhenUsed/>
    <w:qFormat/>
    <w:uiPriority w:val="39"/>
    <w:pPr>
      <w:pageBreakBefore w:val="0"/>
      <w:adjustRightInd/>
      <w:snapToGrid/>
      <w:spacing w:line="578" w:lineRule="auto"/>
      <w:jc w:val="both"/>
      <w:outlineLvl w:val="9"/>
    </w:pPr>
    <w:rPr>
      <w:rFonts w:ascii="Times New Roman" w:hAnsi="Times New Roman" w:eastAsia="宋体" w:cs="Times New Roman"/>
      <w:b/>
      <w:bCs/>
      <w:kern w:val="44"/>
      <w:sz w:val="44"/>
      <w:szCs w:val="44"/>
    </w:rPr>
  </w:style>
  <w:style w:type="character" w:customStyle="1" w:styleId="193">
    <w:name w:val="纯文本 Char1"/>
    <w:qFormat/>
    <w:uiPriority w:val="99"/>
    <w:rPr>
      <w:rFonts w:ascii="宋体" w:hAnsi="Courier New" w:cs="Courier New"/>
      <w:sz w:val="21"/>
      <w:szCs w:val="21"/>
      <w:lang w:val="zh-CN" w:bidi="zh-CN"/>
    </w:rPr>
  </w:style>
  <w:style w:type="character" w:customStyle="1" w:styleId="194">
    <w:name w:val="font41"/>
    <w:qFormat/>
    <w:uiPriority w:val="0"/>
    <w:rPr>
      <w:rFonts w:hint="default" w:ascii="Arial" w:hAnsi="Arial" w:cs="Arial"/>
      <w:color w:val="000000"/>
      <w:sz w:val="20"/>
      <w:szCs w:val="20"/>
      <w:u w:val="none"/>
    </w:rPr>
  </w:style>
  <w:style w:type="character" w:customStyle="1" w:styleId="195">
    <w:name w:val="font31"/>
    <w:qFormat/>
    <w:uiPriority w:val="0"/>
    <w:rPr>
      <w:rFonts w:hint="eastAsia" w:ascii="宋体" w:hAnsi="宋体" w:eastAsia="宋体" w:cs="宋体"/>
      <w:color w:val="000000"/>
      <w:sz w:val="20"/>
      <w:szCs w:val="20"/>
      <w:u w:val="none"/>
    </w:rPr>
  </w:style>
  <w:style w:type="character" w:customStyle="1" w:styleId="196">
    <w:name w:val="页脚 Char"/>
    <w:qFormat/>
    <w:uiPriority w:val="0"/>
    <w:rPr>
      <w:kern w:val="2"/>
      <w:sz w:val="18"/>
    </w:rPr>
  </w:style>
  <w:style w:type="character" w:customStyle="1" w:styleId="197">
    <w:name w:val="页眉 Char"/>
    <w:qFormat/>
    <w:uiPriority w:val="0"/>
    <w:rPr>
      <w:kern w:val="2"/>
      <w:sz w:val="18"/>
      <w:szCs w:val="18"/>
    </w:rPr>
  </w:style>
  <w:style w:type="paragraph" w:customStyle="1" w:styleId="198">
    <w:name w:val="标题 81"/>
    <w:basedOn w:val="1"/>
    <w:qFormat/>
    <w:uiPriority w:val="1"/>
    <w:pPr>
      <w:autoSpaceDE w:val="0"/>
      <w:autoSpaceDN w:val="0"/>
      <w:spacing w:before="66"/>
      <w:jc w:val="left"/>
      <w:outlineLvl w:val="8"/>
    </w:pPr>
    <w:rPr>
      <w:rFonts w:ascii="黑体" w:hAnsi="黑体" w:eastAsia="黑体" w:cs="黑体"/>
      <w:kern w:val="0"/>
      <w:sz w:val="31"/>
      <w:szCs w:val="31"/>
      <w:lang w:val="zh-CN" w:bidi="zh-CN"/>
    </w:rPr>
  </w:style>
  <w:style w:type="paragraph" w:customStyle="1" w:styleId="199">
    <w:name w:val="标题 31"/>
    <w:basedOn w:val="1"/>
    <w:qFormat/>
    <w:uiPriority w:val="1"/>
    <w:pPr>
      <w:autoSpaceDE w:val="0"/>
      <w:autoSpaceDN w:val="0"/>
      <w:spacing w:before="169"/>
      <w:jc w:val="center"/>
      <w:outlineLvl w:val="3"/>
    </w:pPr>
    <w:rPr>
      <w:rFonts w:ascii="黑体" w:hAnsi="黑体" w:eastAsia="黑体" w:cs="黑体"/>
      <w:kern w:val="0"/>
      <w:sz w:val="56"/>
      <w:szCs w:val="56"/>
      <w:lang w:val="zh-CN" w:bidi="zh-CN"/>
    </w:rPr>
  </w:style>
  <w:style w:type="paragraph" w:customStyle="1" w:styleId="200">
    <w:name w:val="标题 71"/>
    <w:basedOn w:val="1"/>
    <w:qFormat/>
    <w:uiPriority w:val="1"/>
    <w:pPr>
      <w:autoSpaceDE w:val="0"/>
      <w:autoSpaceDN w:val="0"/>
      <w:spacing w:before="55"/>
      <w:jc w:val="center"/>
      <w:outlineLvl w:val="7"/>
    </w:pPr>
    <w:rPr>
      <w:rFonts w:ascii="黑体" w:hAnsi="黑体" w:eastAsia="黑体" w:cs="黑体"/>
      <w:kern w:val="0"/>
      <w:sz w:val="32"/>
      <w:szCs w:val="32"/>
      <w:lang w:val="zh-CN" w:bidi="zh-CN"/>
    </w:rPr>
  </w:style>
  <w:style w:type="paragraph" w:customStyle="1" w:styleId="201">
    <w:name w:val="标题 41"/>
    <w:basedOn w:val="1"/>
    <w:qFormat/>
    <w:uiPriority w:val="1"/>
    <w:pPr>
      <w:autoSpaceDE w:val="0"/>
      <w:autoSpaceDN w:val="0"/>
      <w:spacing w:before="21"/>
      <w:jc w:val="center"/>
      <w:outlineLvl w:val="4"/>
    </w:pPr>
    <w:rPr>
      <w:rFonts w:ascii="黑体" w:hAnsi="黑体" w:eastAsia="黑体" w:cs="黑体"/>
      <w:kern w:val="0"/>
      <w:sz w:val="44"/>
      <w:szCs w:val="44"/>
      <w:lang w:val="zh-CN" w:bidi="zh-CN"/>
    </w:rPr>
  </w:style>
  <w:style w:type="paragraph" w:customStyle="1" w:styleId="202">
    <w:name w:val="标题 11"/>
    <w:basedOn w:val="1"/>
    <w:qFormat/>
    <w:uiPriority w:val="0"/>
    <w:pPr>
      <w:autoSpaceDE w:val="0"/>
      <w:autoSpaceDN w:val="0"/>
      <w:spacing w:line="968" w:lineRule="exact"/>
      <w:ind w:right="55"/>
      <w:jc w:val="center"/>
      <w:outlineLvl w:val="1"/>
    </w:pPr>
    <w:rPr>
      <w:rFonts w:ascii="黑体" w:hAnsi="黑体" w:eastAsia="黑体" w:cs="黑体"/>
      <w:kern w:val="0"/>
      <w:sz w:val="76"/>
      <w:szCs w:val="76"/>
      <w:lang w:val="zh-CN" w:bidi="zh-CN"/>
    </w:rPr>
  </w:style>
  <w:style w:type="paragraph" w:customStyle="1" w:styleId="203">
    <w:name w:val="标题 51"/>
    <w:basedOn w:val="1"/>
    <w:qFormat/>
    <w:uiPriority w:val="1"/>
    <w:pPr>
      <w:autoSpaceDE w:val="0"/>
      <w:autoSpaceDN w:val="0"/>
      <w:spacing w:before="41"/>
      <w:ind w:left="38"/>
      <w:jc w:val="left"/>
      <w:outlineLvl w:val="5"/>
    </w:pPr>
    <w:rPr>
      <w:rFonts w:ascii="黑体" w:hAnsi="黑体" w:eastAsia="黑体" w:cs="黑体"/>
      <w:b/>
      <w:bCs/>
      <w:kern w:val="0"/>
      <w:sz w:val="42"/>
      <w:szCs w:val="42"/>
      <w:lang w:val="zh-CN" w:bidi="zh-CN"/>
    </w:rPr>
  </w:style>
  <w:style w:type="paragraph" w:customStyle="1" w:styleId="204">
    <w:name w:val="纯文本1"/>
    <w:basedOn w:val="1"/>
    <w:qFormat/>
    <w:uiPriority w:val="0"/>
    <w:pPr>
      <w:ind w:firstLine="420"/>
    </w:pPr>
    <w:rPr>
      <w:rFonts w:ascii="Courier New" w:hAnsi="Courier New" w:eastAsia="宋体" w:cs="Times New Roman"/>
      <w:szCs w:val="20"/>
    </w:rPr>
  </w:style>
  <w:style w:type="paragraph" w:customStyle="1" w:styleId="205">
    <w:name w:val="正文文本 31"/>
    <w:basedOn w:val="1"/>
    <w:qFormat/>
    <w:uiPriority w:val="0"/>
    <w:pPr>
      <w:ind w:firstLine="420"/>
    </w:pPr>
    <w:rPr>
      <w:rFonts w:ascii="宋体" w:hAnsi="Times New Roman" w:eastAsia="宋体" w:cs="Times New Roman"/>
      <w:sz w:val="24"/>
      <w:szCs w:val="20"/>
    </w:rPr>
  </w:style>
  <w:style w:type="paragraph" w:customStyle="1" w:styleId="206">
    <w:name w:val="标题 61"/>
    <w:basedOn w:val="1"/>
    <w:qFormat/>
    <w:uiPriority w:val="1"/>
    <w:pPr>
      <w:autoSpaceDE w:val="0"/>
      <w:autoSpaceDN w:val="0"/>
      <w:spacing w:before="41"/>
      <w:ind w:left="37"/>
      <w:jc w:val="center"/>
      <w:outlineLvl w:val="6"/>
    </w:pPr>
    <w:rPr>
      <w:rFonts w:ascii="黑体" w:hAnsi="黑体" w:eastAsia="黑体" w:cs="黑体"/>
      <w:kern w:val="0"/>
      <w:sz w:val="42"/>
      <w:szCs w:val="42"/>
      <w:lang w:val="zh-CN" w:bidi="zh-CN"/>
    </w:rPr>
  </w:style>
  <w:style w:type="paragraph" w:customStyle="1" w:styleId="207">
    <w:name w:val="标题 21"/>
    <w:basedOn w:val="1"/>
    <w:qFormat/>
    <w:uiPriority w:val="1"/>
    <w:pPr>
      <w:autoSpaceDE w:val="0"/>
      <w:autoSpaceDN w:val="0"/>
      <w:ind w:right="61"/>
      <w:jc w:val="center"/>
      <w:outlineLvl w:val="2"/>
    </w:pPr>
    <w:rPr>
      <w:rFonts w:ascii="黑体" w:hAnsi="黑体" w:eastAsia="黑体" w:cs="黑体"/>
      <w:kern w:val="0"/>
      <w:sz w:val="72"/>
      <w:szCs w:val="72"/>
      <w:lang w:val="zh-CN" w:bidi="zh-CN"/>
    </w:rPr>
  </w:style>
  <w:style w:type="table" w:customStyle="1" w:styleId="208">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209">
    <w:name w:val="网格型111"/>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网格型2"/>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网格型3"/>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2">
    <w:name w:val="纯文本 字符1"/>
    <w:qFormat/>
    <w:uiPriority w:val="0"/>
    <w:rPr>
      <w:rFonts w:ascii="宋体" w:hAnsi="Courier New" w:eastAsia="宋体" w:cs="Courier New"/>
      <w:szCs w:val="21"/>
    </w:rPr>
  </w:style>
  <w:style w:type="character" w:customStyle="1" w:styleId="213">
    <w:name w:val="正文文本缩进 字符1"/>
    <w:qFormat/>
    <w:locked/>
    <w:uiPriority w:val="0"/>
    <w:rPr>
      <w:rFonts w:eastAsia="宋体"/>
      <w:sz w:val="24"/>
    </w:rPr>
  </w:style>
  <w:style w:type="character" w:customStyle="1" w:styleId="214">
    <w:name w:val="标题 3 字符1"/>
    <w:qFormat/>
    <w:uiPriority w:val="9"/>
    <w:rPr>
      <w:rFonts w:ascii="Arial Rounded MT Bold" w:hAnsi="Arial Rounded MT Bold" w:eastAsia="文鼎大标宋简" w:cs="Times New Roman"/>
      <w:spacing w:val="8"/>
      <w:kern w:val="0"/>
      <w:szCs w:val="20"/>
    </w:rPr>
  </w:style>
  <w:style w:type="character" w:customStyle="1" w:styleId="215">
    <w:name w:val="脚注文本 字符1"/>
    <w:qFormat/>
    <w:uiPriority w:val="0"/>
    <w:rPr>
      <w:sz w:val="18"/>
      <w:szCs w:val="18"/>
    </w:rPr>
  </w:style>
  <w:style w:type="character" w:customStyle="1" w:styleId="216">
    <w:name w:val="批注文字 字符1"/>
    <w:qFormat/>
    <w:locked/>
    <w:uiPriority w:val="99"/>
    <w:rPr>
      <w:rFonts w:ascii="Times New Roman" w:hAnsi="Times New Roman" w:eastAsia="宋体" w:cs="Times New Roman"/>
      <w:szCs w:val="24"/>
      <w:lang w:val="zh-CN" w:eastAsia="zh-CN"/>
    </w:rPr>
  </w:style>
  <w:style w:type="character" w:customStyle="1" w:styleId="217">
    <w:name w:val="标题 2 字符1"/>
    <w:qFormat/>
    <w:locked/>
    <w:uiPriority w:val="9"/>
    <w:rPr>
      <w:rFonts w:ascii="Arial" w:hAnsi="Arial" w:eastAsia="黑体" w:cs="Times New Roman"/>
      <w:b/>
      <w:bCs/>
      <w:sz w:val="32"/>
      <w:szCs w:val="32"/>
      <w:lang w:val="zh-CN" w:eastAsia="zh-CN"/>
    </w:rPr>
  </w:style>
  <w:style w:type="character" w:customStyle="1" w:styleId="218">
    <w:name w:val="标题 1 字符1"/>
    <w:qFormat/>
    <w:uiPriority w:val="9"/>
    <w:rPr>
      <w:rFonts w:ascii="Times New Roman" w:hAnsi="Times New Roman" w:eastAsia="宋体" w:cs="Times New Roman"/>
      <w:b/>
      <w:bCs/>
      <w:kern w:val="44"/>
      <w:sz w:val="44"/>
      <w:szCs w:val="44"/>
      <w:lang w:val="zh-CN" w:eastAsia="zh-CN"/>
    </w:rPr>
  </w:style>
  <w:style w:type="character" w:customStyle="1" w:styleId="219">
    <w:name w:val="页脚 字符1"/>
    <w:qFormat/>
    <w:uiPriority w:val="99"/>
    <w:rPr>
      <w:rFonts w:ascii="Times New Roman" w:hAnsi="Times New Roman" w:eastAsia="宋体" w:cs="Times New Roman"/>
      <w:sz w:val="18"/>
      <w:szCs w:val="20"/>
    </w:rPr>
  </w:style>
  <w:style w:type="character" w:customStyle="1" w:styleId="220">
    <w:name w:val="页眉 字符1"/>
    <w:qFormat/>
    <w:uiPriority w:val="99"/>
    <w:rPr>
      <w:rFonts w:ascii="Times New Roman" w:hAnsi="Times New Roman" w:eastAsia="宋体" w:cs="Times New Roman"/>
      <w:sz w:val="18"/>
      <w:szCs w:val="18"/>
    </w:rPr>
  </w:style>
  <w:style w:type="character" w:customStyle="1" w:styleId="221">
    <w:name w:val="Char Char8"/>
    <w:qFormat/>
    <w:uiPriority w:val="0"/>
    <w:rPr>
      <w:rFonts w:ascii="宋体" w:hAnsi="Courier New" w:eastAsia="宋体" w:cs="Courier New"/>
      <w:kern w:val="2"/>
      <w:sz w:val="21"/>
      <w:szCs w:val="21"/>
      <w:lang w:val="en-US" w:eastAsia="zh-CN" w:bidi="ar-SA"/>
    </w:rPr>
  </w:style>
  <w:style w:type="character" w:customStyle="1" w:styleId="222">
    <w:name w:val="正文文本 Char"/>
    <w:qFormat/>
    <w:locked/>
    <w:uiPriority w:val="0"/>
    <w:rPr>
      <w:rFonts w:ascii="宋体" w:eastAsia="宋体"/>
      <w:kern w:val="2"/>
      <w:sz w:val="28"/>
      <w:lang w:val="en-US" w:eastAsia="zh-CN" w:bidi="ar-SA"/>
    </w:rPr>
  </w:style>
  <w:style w:type="character" w:customStyle="1" w:styleId="223">
    <w:name w:val="标题 3 Char1"/>
    <w:qFormat/>
    <w:uiPriority w:val="0"/>
    <w:rPr>
      <w:rFonts w:ascii="Arial Rounded MT Bold" w:hAnsi="Arial Rounded MT Bold" w:eastAsia="文鼎大标宋简"/>
      <w:spacing w:val="8"/>
      <w:sz w:val="21"/>
      <w:lang w:val="en-US" w:eastAsia="zh-CN" w:bidi="ar-SA"/>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默认段落字体 Para Char"/>
    <w:basedOn w:val="1"/>
    <w:qFormat/>
    <w:uiPriority w:val="0"/>
    <w:pPr>
      <w:spacing w:line="360" w:lineRule="auto"/>
      <w:ind w:firstLine="200" w:firstLineChars="200"/>
    </w:pPr>
    <w:rPr>
      <w:rFonts w:ascii="宋体" w:hAnsi="宋体" w:eastAsia="宋体" w:cs="宋体"/>
      <w:sz w:val="24"/>
      <w:szCs w:val="24"/>
    </w:rPr>
  </w:style>
  <w:style w:type="paragraph" w:customStyle="1" w:styleId="226">
    <w:name w:val="样式 标题 3 + (中文) 黑体 小四 非加粗 段前: 7.8 磅 段后: 0 磅 行距: 固定值 20 磅"/>
    <w:basedOn w:val="4"/>
    <w:qFormat/>
    <w:uiPriority w:val="0"/>
    <w:pPr>
      <w:keepNext/>
      <w:keepLines/>
      <w:adjustRightInd/>
      <w:spacing w:before="0" w:after="0"/>
      <w:ind w:firstLine="0"/>
      <w:textAlignment w:val="auto"/>
    </w:pPr>
    <w:rPr>
      <w:rFonts w:ascii="Times New Roman" w:hAnsi="Times New Roman" w:eastAsia="黑体" w:cs="宋体"/>
      <w:spacing w:val="0"/>
      <w:kern w:val="2"/>
      <w:sz w:val="24"/>
      <w:szCs w:val="24"/>
    </w:rPr>
  </w:style>
  <w:style w:type="paragraph" w:customStyle="1" w:styleId="227">
    <w:name w:val="修订1"/>
    <w:hidden/>
    <w:unhideWhenUsed/>
    <w:qFormat/>
    <w:uiPriority w:val="99"/>
    <w:rPr>
      <w:rFonts w:ascii="Times New Roman" w:hAnsi="Times New Roman" w:eastAsia="宋体" w:cs="Times New Roman"/>
      <w:kern w:val="2"/>
      <w:sz w:val="21"/>
      <w:szCs w:val="24"/>
      <w:lang w:val="en-US" w:eastAsia="zh-CN" w:bidi="ar-SA"/>
    </w:rPr>
  </w:style>
  <w:style w:type="table" w:customStyle="1" w:styleId="228">
    <w:name w:val="Table Normal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229">
    <w:name w:val="Table Normal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30">
    <w:name w:val="正文文本首行缩进 21"/>
    <w:basedOn w:val="24"/>
    <w:next w:val="57"/>
    <w:link w:val="231"/>
    <w:unhideWhenUsed/>
    <w:qFormat/>
    <w:uiPriority w:val="99"/>
    <w:pPr>
      <w:spacing w:after="120" w:line="240" w:lineRule="auto"/>
      <w:ind w:left="420" w:leftChars="200" w:firstLine="420" w:firstLineChars="200"/>
    </w:pPr>
    <w:rPr>
      <w:rFonts w:ascii="Calibri" w:hAnsi="Calibri" w:eastAsia="宋体" w:cs="Times New Roman"/>
      <w:sz w:val="21"/>
    </w:rPr>
  </w:style>
  <w:style w:type="character" w:customStyle="1" w:styleId="231">
    <w:name w:val="正文文本首行缩进 2 字符"/>
    <w:basedOn w:val="148"/>
    <w:link w:val="230"/>
    <w:qFormat/>
    <w:uiPriority w:val="99"/>
    <w:rPr>
      <w:rFonts w:ascii="Calibri" w:hAnsi="Calibri" w:eastAsia="宋体" w:cs="Times New Roman"/>
      <w:kern w:val="2"/>
      <w:sz w:val="21"/>
      <w:szCs w:val="22"/>
    </w:rPr>
  </w:style>
  <w:style w:type="character" w:customStyle="1" w:styleId="232">
    <w:name w:val="标题 2 字符2"/>
    <w:basedOn w:val="60"/>
    <w:semiHidden/>
    <w:qFormat/>
    <w:uiPriority w:val="9"/>
    <w:rPr>
      <w:rFonts w:asciiTheme="majorHAnsi" w:hAnsiTheme="majorHAnsi" w:eastAsiaTheme="majorEastAsia" w:cstheme="majorBidi"/>
      <w:b/>
      <w:bCs/>
      <w:sz w:val="32"/>
      <w:szCs w:val="32"/>
    </w:rPr>
  </w:style>
  <w:style w:type="character" w:customStyle="1" w:styleId="233">
    <w:name w:val="文档结构图 字符1"/>
    <w:basedOn w:val="60"/>
    <w:link w:val="18"/>
    <w:semiHidden/>
    <w:qFormat/>
    <w:uiPriority w:val="99"/>
    <w:rPr>
      <w:rFonts w:ascii="Microsoft YaHei UI" w:eastAsia="Microsoft YaHei UI"/>
      <w:sz w:val="18"/>
      <w:szCs w:val="18"/>
    </w:rPr>
  </w:style>
  <w:style w:type="character" w:customStyle="1" w:styleId="234">
    <w:name w:val="批注文字 字符2"/>
    <w:basedOn w:val="60"/>
    <w:link w:val="19"/>
    <w:semiHidden/>
    <w:qFormat/>
    <w:uiPriority w:val="99"/>
  </w:style>
  <w:style w:type="character" w:customStyle="1" w:styleId="235">
    <w:name w:val="批注框文本 字符1"/>
    <w:basedOn w:val="60"/>
    <w:link w:val="33"/>
    <w:semiHidden/>
    <w:qFormat/>
    <w:uiPriority w:val="99"/>
    <w:rPr>
      <w:sz w:val="18"/>
      <w:szCs w:val="18"/>
    </w:rPr>
  </w:style>
  <w:style w:type="character" w:customStyle="1" w:styleId="236">
    <w:name w:val="批注主题 字符1"/>
    <w:basedOn w:val="234"/>
    <w:semiHidden/>
    <w:qFormat/>
    <w:uiPriority w:val="99"/>
    <w:rPr>
      <w:b/>
      <w:bCs/>
    </w:rPr>
  </w:style>
  <w:style w:type="character" w:customStyle="1" w:styleId="237">
    <w:name w:val="正文文本首行缩进 2 字符1"/>
    <w:basedOn w:val="109"/>
    <w:link w:val="57"/>
    <w:semiHidden/>
    <w:qFormat/>
    <w:uiPriority w:val="99"/>
    <w:rPr>
      <w:sz w:val="24"/>
    </w:rPr>
  </w:style>
  <w:style w:type="table" w:customStyle="1" w:styleId="238">
    <w:name w:val="网格型4"/>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9">
    <w:name w:val="网格型5"/>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0">
    <w:name w:val="Table Normal1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41">
    <w:name w:val="Body text|1"/>
    <w:basedOn w:val="1"/>
    <w:qFormat/>
    <w:uiPriority w:val="0"/>
    <w:pPr>
      <w:spacing w:line="418" w:lineRule="auto"/>
      <w:ind w:firstLine="400"/>
    </w:pPr>
    <w:rPr>
      <w:rFonts w:ascii="宋体" w:hAnsi="宋体" w:eastAsia="宋体" w:cs="宋体"/>
      <w:color w:val="3024CF"/>
      <w:sz w:val="20"/>
      <w:szCs w:val="20"/>
      <w:lang w:val="zh-TW" w:eastAsia="zh-TW" w:bidi="zh-TW"/>
    </w:rPr>
  </w:style>
  <w:style w:type="character" w:customStyle="1" w:styleId="242">
    <w:name w:val="称呼 字符"/>
    <w:basedOn w:val="60"/>
    <w:link w:val="21"/>
    <w:qFormat/>
    <w:uiPriority w:val="0"/>
    <w:rPr>
      <w:rFonts w:ascii="楷体_GB2312" w:hAnsi="Times New Roman" w:eastAsia="楷体_GB2312" w:cs="Times New Roman"/>
      <w:sz w:val="28"/>
      <w:szCs w:val="20"/>
    </w:rPr>
  </w:style>
  <w:style w:type="character" w:customStyle="1" w:styleId="243">
    <w:name w:val="副标题 字符"/>
    <w:basedOn w:val="60"/>
    <w:link w:val="40"/>
    <w:qFormat/>
    <w:uiPriority w:val="0"/>
    <w:rPr>
      <w:rFonts w:ascii="Cambria" w:hAnsi="Cambria" w:eastAsia="宋体" w:cs="Times New Roman"/>
      <w:b/>
      <w:bCs/>
      <w:kern w:val="28"/>
      <w:sz w:val="32"/>
      <w:szCs w:val="32"/>
    </w:rPr>
  </w:style>
  <w:style w:type="character" w:customStyle="1" w:styleId="244">
    <w:name w:val="HTML 预设格式 字符"/>
    <w:basedOn w:val="60"/>
    <w:link w:val="51"/>
    <w:qFormat/>
    <w:uiPriority w:val="99"/>
    <w:rPr>
      <w:rFonts w:ascii="Courier New" w:hAnsi="Courier New" w:eastAsia="宋体" w:cs="Courier New"/>
      <w:kern w:val="0"/>
      <w:sz w:val="20"/>
      <w:szCs w:val="20"/>
    </w:rPr>
  </w:style>
  <w:style w:type="character" w:customStyle="1" w:styleId="245">
    <w:name w:val="正文文本首行缩进 字符"/>
    <w:basedOn w:val="143"/>
    <w:link w:val="56"/>
    <w:qFormat/>
    <w:uiPriority w:val="99"/>
    <w:rPr>
      <w:rFonts w:ascii="Times New Roman" w:hAnsi="Times New Roman" w:eastAsia="宋体" w:cs="Times New Roman"/>
      <w:kern w:val="0"/>
      <w:sz w:val="20"/>
      <w:szCs w:val="20"/>
    </w:rPr>
  </w:style>
  <w:style w:type="table" w:customStyle="1" w:styleId="246">
    <w:name w:val="网格型6"/>
    <w:basedOn w:val="5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47">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248">
    <w:name w:val="访问过的超链接1"/>
    <w:qFormat/>
    <w:uiPriority w:val="99"/>
    <w:rPr>
      <w:color w:val="800080"/>
      <w:u w:val="single"/>
    </w:rPr>
  </w:style>
  <w:style w:type="character" w:customStyle="1" w:styleId="249">
    <w:name w:val="rvts160"/>
    <w:qFormat/>
    <w:uiPriority w:val="0"/>
    <w:rPr>
      <w:rFonts w:hint="default" w:ascii="KNLe" w:hAnsi="KNLe"/>
      <w:color w:val="000000"/>
      <w:u w:val="single"/>
      <w:shd w:val="clear" w:color="auto" w:fill="FFFF00"/>
    </w:rPr>
  </w:style>
  <w:style w:type="character" w:customStyle="1" w:styleId="250">
    <w:name w:val="rvts52"/>
    <w:qFormat/>
    <w:uiPriority w:val="0"/>
    <w:rPr>
      <w:rFonts w:hint="default" w:ascii="KNLe" w:hAnsi="KNLe"/>
      <w:b/>
      <w:bCs/>
      <w:sz w:val="22"/>
      <w:szCs w:val="22"/>
      <w:u w:val="single"/>
    </w:rPr>
  </w:style>
  <w:style w:type="character" w:customStyle="1" w:styleId="251">
    <w:name w:val="rvts109"/>
    <w:qFormat/>
    <w:uiPriority w:val="0"/>
    <w:rPr>
      <w:rFonts w:hint="default" w:ascii="7BKN_gb2312" w:hAnsi="7BKN_gb2312"/>
      <w:b/>
      <w:bCs/>
      <w:color w:val="000000"/>
      <w:sz w:val="30"/>
      <w:szCs w:val="30"/>
    </w:rPr>
  </w:style>
  <w:style w:type="character" w:customStyle="1" w:styleId="252">
    <w:name w:val="rvts17"/>
    <w:qFormat/>
    <w:uiPriority w:val="0"/>
    <w:rPr>
      <w:rFonts w:hint="default" w:ascii="KNLe" w:hAnsi="KNLe"/>
      <w:color w:val="000000"/>
      <w:sz w:val="24"/>
      <w:szCs w:val="24"/>
      <w:u w:val="single"/>
    </w:rPr>
  </w:style>
  <w:style w:type="character" w:customStyle="1" w:styleId="253">
    <w:name w:val="rvts39"/>
    <w:qFormat/>
    <w:uiPriority w:val="0"/>
    <w:rPr>
      <w:rFonts w:hint="default" w:ascii="KNLe" w:hAnsi="KNLe"/>
      <w:b/>
      <w:bCs/>
      <w:color w:val="000000"/>
      <w:spacing w:val="16"/>
      <w:sz w:val="24"/>
      <w:szCs w:val="24"/>
    </w:rPr>
  </w:style>
  <w:style w:type="character" w:customStyle="1" w:styleId="254">
    <w:name w:val="rvts44"/>
    <w:qFormat/>
    <w:uiPriority w:val="0"/>
    <w:rPr>
      <w:rFonts w:hint="default" w:ascii="KNLe" w:hAnsi="KNLe"/>
      <w:color w:val="000000"/>
      <w:spacing w:val="16"/>
      <w:sz w:val="24"/>
      <w:szCs w:val="24"/>
    </w:rPr>
  </w:style>
  <w:style w:type="character" w:customStyle="1" w:styleId="255">
    <w:name w:val="rvts148"/>
    <w:qFormat/>
    <w:uiPriority w:val="0"/>
    <w:rPr>
      <w:rFonts w:hint="default" w:ascii="KNLe" w:hAnsi="KNLe"/>
      <w:b/>
      <w:bCs/>
      <w:color w:val="0000FF"/>
      <w:u w:val="single"/>
    </w:rPr>
  </w:style>
  <w:style w:type="character" w:customStyle="1" w:styleId="256">
    <w:name w:val="批注主题 Char1"/>
    <w:qFormat/>
    <w:uiPriority w:val="0"/>
    <w:rPr>
      <w:b/>
      <w:bCs/>
    </w:rPr>
  </w:style>
  <w:style w:type="character" w:customStyle="1" w:styleId="257">
    <w:name w:val="rvts149"/>
    <w:qFormat/>
    <w:uiPriority w:val="0"/>
    <w:rPr>
      <w:rFonts w:hint="default" w:ascii="KNLe" w:hAnsi="KNLe"/>
      <w:b/>
      <w:bCs/>
      <w:color w:val="000000"/>
      <w:u w:val="single"/>
    </w:rPr>
  </w:style>
  <w:style w:type="character" w:customStyle="1" w:styleId="258">
    <w:name w:val="rvts135"/>
    <w:qFormat/>
    <w:uiPriority w:val="0"/>
    <w:rPr>
      <w:rFonts w:hint="default" w:ascii="KNLe" w:hAnsi="KNLe"/>
      <w:b/>
      <w:bCs/>
      <w:sz w:val="44"/>
      <w:szCs w:val="44"/>
    </w:rPr>
  </w:style>
  <w:style w:type="character" w:customStyle="1" w:styleId="259">
    <w:name w:val="rvts28"/>
    <w:qFormat/>
    <w:uiPriority w:val="0"/>
    <w:rPr>
      <w:rFonts w:hint="default" w:ascii="KNLe" w:hAnsi="KNLe"/>
      <w:color w:val="000000"/>
      <w:u w:val="single"/>
    </w:rPr>
  </w:style>
  <w:style w:type="character" w:customStyle="1" w:styleId="260">
    <w:name w:val="rvts102"/>
    <w:qFormat/>
    <w:uiPriority w:val="0"/>
    <w:rPr>
      <w:rFonts w:hint="default" w:ascii="Times New Roman" w:hAnsi="Times New Roman" w:cs="Times New Roman"/>
      <w:spacing w:val="33"/>
      <w:sz w:val="28"/>
      <w:szCs w:val="28"/>
      <w:u w:val="none"/>
    </w:rPr>
  </w:style>
  <w:style w:type="character" w:customStyle="1" w:styleId="261">
    <w:name w:val="rvts15"/>
    <w:qFormat/>
    <w:uiPriority w:val="0"/>
    <w:rPr>
      <w:rFonts w:hint="default" w:ascii="KNLe" w:hAnsi="KNLe"/>
      <w:color w:val="000000"/>
      <w:sz w:val="24"/>
      <w:szCs w:val="24"/>
    </w:rPr>
  </w:style>
  <w:style w:type="character" w:customStyle="1" w:styleId="262">
    <w:name w:val="rvts133"/>
    <w:qFormat/>
    <w:uiPriority w:val="0"/>
    <w:rPr>
      <w:rFonts w:hint="default" w:ascii="7BKN_gb2312" w:hAnsi="7BKN_gb2312"/>
      <w:color w:val="000000"/>
      <w:sz w:val="32"/>
      <w:szCs w:val="32"/>
    </w:rPr>
  </w:style>
  <w:style w:type="character" w:customStyle="1" w:styleId="263">
    <w:name w:val="rvts43"/>
    <w:qFormat/>
    <w:uiPriority w:val="0"/>
    <w:rPr>
      <w:rFonts w:hint="default" w:ascii="KNLe" w:hAnsi="KNLe"/>
      <w:color w:val="000000"/>
      <w:spacing w:val="16"/>
      <w:sz w:val="24"/>
      <w:szCs w:val="24"/>
    </w:rPr>
  </w:style>
  <w:style w:type="character" w:customStyle="1" w:styleId="264">
    <w:name w:val="infodetail1"/>
    <w:qFormat/>
    <w:uiPriority w:val="0"/>
    <w:rPr>
      <w:sz w:val="21"/>
      <w:szCs w:val="21"/>
    </w:rPr>
  </w:style>
  <w:style w:type="character" w:customStyle="1" w:styleId="265">
    <w:name w:val="rvts119"/>
    <w:qFormat/>
    <w:uiPriority w:val="0"/>
    <w:rPr>
      <w:rFonts w:hint="default" w:ascii="7BKN_gb2312" w:hAnsi="7BKN_gb2312"/>
      <w:sz w:val="30"/>
      <w:szCs w:val="30"/>
      <w:u w:val="single"/>
    </w:rPr>
  </w:style>
  <w:style w:type="character" w:customStyle="1" w:styleId="266">
    <w:name w:val="rvts14"/>
    <w:qFormat/>
    <w:uiPriority w:val="0"/>
    <w:rPr>
      <w:rFonts w:hint="default" w:ascii="Times New Roman" w:hAnsi="Times New Roman" w:cs="Times New Roman"/>
      <w:color w:val="000000"/>
      <w:sz w:val="24"/>
      <w:szCs w:val="24"/>
    </w:rPr>
  </w:style>
  <w:style w:type="character" w:customStyle="1" w:styleId="267">
    <w:name w:val="rvts47"/>
    <w:qFormat/>
    <w:uiPriority w:val="0"/>
    <w:rPr>
      <w:rFonts w:hint="default" w:ascii="KNLe" w:hAnsi="KNLe"/>
      <w:color w:val="000000"/>
      <w:spacing w:val="16"/>
      <w:sz w:val="24"/>
      <w:szCs w:val="24"/>
    </w:rPr>
  </w:style>
  <w:style w:type="character" w:customStyle="1" w:styleId="268">
    <w:name w:val="rvts12"/>
    <w:qFormat/>
    <w:uiPriority w:val="0"/>
    <w:rPr>
      <w:rFonts w:hint="default" w:ascii="Verdana" w:hAnsi="Verdana"/>
      <w:sz w:val="22"/>
      <w:szCs w:val="22"/>
    </w:rPr>
  </w:style>
  <w:style w:type="character" w:customStyle="1" w:styleId="269">
    <w:name w:val="rvts153"/>
    <w:qFormat/>
    <w:uiPriority w:val="0"/>
    <w:rPr>
      <w:rFonts w:hint="default" w:ascii="KNLe" w:hAnsi="KNLe"/>
      <w:shd w:val="clear" w:color="auto" w:fill="FFFF00"/>
    </w:rPr>
  </w:style>
  <w:style w:type="character" w:customStyle="1" w:styleId="270">
    <w:name w:val="批注文字 Char1"/>
    <w:basedOn w:val="60"/>
    <w:qFormat/>
    <w:uiPriority w:val="0"/>
  </w:style>
  <w:style w:type="character" w:customStyle="1" w:styleId="271">
    <w:name w:val="rvts138"/>
    <w:qFormat/>
    <w:uiPriority w:val="0"/>
    <w:rPr>
      <w:rFonts w:hint="default" w:ascii="KNLe" w:hAnsi="KNLe"/>
      <w:b/>
      <w:bCs/>
      <w:color w:val="000000"/>
      <w:u w:val="single"/>
    </w:rPr>
  </w:style>
  <w:style w:type="character" w:customStyle="1" w:styleId="272">
    <w:name w:val="rvts92"/>
    <w:qFormat/>
    <w:uiPriority w:val="0"/>
    <w:rPr>
      <w:rFonts w:hint="default" w:ascii="KNLe" w:hAnsi="KNLe"/>
      <w:color w:val="000000"/>
      <w:sz w:val="24"/>
      <w:szCs w:val="24"/>
      <w:u w:val="single"/>
    </w:rPr>
  </w:style>
  <w:style w:type="character" w:customStyle="1" w:styleId="273">
    <w:name w:val="rvts108"/>
    <w:qFormat/>
    <w:uiPriority w:val="0"/>
    <w:rPr>
      <w:rFonts w:hint="default" w:ascii="Times New Roman" w:hAnsi="Times New Roman" w:cs="Times New Roman"/>
      <w:b/>
      <w:bCs/>
      <w:sz w:val="28"/>
      <w:szCs w:val="28"/>
    </w:rPr>
  </w:style>
  <w:style w:type="character" w:customStyle="1" w:styleId="274">
    <w:name w:val="rvts63"/>
    <w:qFormat/>
    <w:uiPriority w:val="0"/>
    <w:rPr>
      <w:rFonts w:hint="default" w:ascii=";*NDVPKN" w:hAnsi=";*NDVPKN"/>
      <w:b/>
      <w:bCs/>
      <w:sz w:val="52"/>
      <w:szCs w:val="52"/>
    </w:rPr>
  </w:style>
  <w:style w:type="character" w:customStyle="1" w:styleId="275">
    <w:name w:val="rvts143"/>
    <w:qFormat/>
    <w:uiPriority w:val="0"/>
    <w:rPr>
      <w:rFonts w:hint="default" w:ascii="KNLe" w:hAnsi="KNLe"/>
      <w:shd w:val="clear" w:color="auto" w:fill="FFFF00"/>
    </w:rPr>
  </w:style>
  <w:style w:type="character" w:customStyle="1" w:styleId="276">
    <w:name w:val="rvts41"/>
    <w:qFormat/>
    <w:uiPriority w:val="0"/>
    <w:rPr>
      <w:rFonts w:hint="default" w:ascii="KNLe" w:hAnsi="KNLe"/>
      <w:color w:val="000000"/>
      <w:spacing w:val="16"/>
      <w:sz w:val="24"/>
      <w:szCs w:val="24"/>
    </w:rPr>
  </w:style>
  <w:style w:type="character" w:customStyle="1" w:styleId="277">
    <w:name w:val="rvts117"/>
    <w:qFormat/>
    <w:uiPriority w:val="0"/>
    <w:rPr>
      <w:rFonts w:hint="default" w:ascii="7BKN_gb2312" w:hAnsi="7BKN_gb2312"/>
      <w:color w:val="FF0000"/>
      <w:sz w:val="30"/>
      <w:szCs w:val="30"/>
      <w:u w:val="single"/>
    </w:rPr>
  </w:style>
  <w:style w:type="character" w:customStyle="1" w:styleId="278">
    <w:name w:val="rvts36"/>
    <w:qFormat/>
    <w:uiPriority w:val="0"/>
    <w:rPr>
      <w:rFonts w:hint="default" w:ascii="KNLe" w:hAnsi="KNLe"/>
      <w:b/>
      <w:bCs/>
      <w:spacing w:val="16"/>
      <w:sz w:val="24"/>
      <w:szCs w:val="24"/>
    </w:rPr>
  </w:style>
  <w:style w:type="character" w:customStyle="1" w:styleId="279">
    <w:name w:val="rvts112"/>
    <w:qFormat/>
    <w:uiPriority w:val="0"/>
    <w:rPr>
      <w:rFonts w:hint="default" w:ascii="KNLe" w:hAnsi="KNLe"/>
      <w:color w:val="0D6FFF"/>
      <w:sz w:val="24"/>
      <w:szCs w:val="24"/>
      <w:u w:val="single"/>
    </w:rPr>
  </w:style>
  <w:style w:type="character" w:customStyle="1" w:styleId="280">
    <w:name w:val="注释标题 Char"/>
    <w:qFormat/>
    <w:uiPriority w:val="0"/>
    <w:rPr>
      <w:rFonts w:ascii="..ì." w:eastAsia="..ì."/>
      <w:sz w:val="24"/>
    </w:rPr>
  </w:style>
  <w:style w:type="character" w:customStyle="1" w:styleId="281">
    <w:name w:val="rvts49"/>
    <w:qFormat/>
    <w:uiPriority w:val="0"/>
    <w:rPr>
      <w:rFonts w:hint="default" w:ascii="KNLe" w:hAnsi="KNLe"/>
      <w:color w:val="000000"/>
      <w:spacing w:val="16"/>
      <w:sz w:val="24"/>
      <w:szCs w:val="24"/>
    </w:rPr>
  </w:style>
  <w:style w:type="character" w:customStyle="1" w:styleId="282">
    <w:name w:val="rvts34"/>
    <w:qFormat/>
    <w:uiPriority w:val="0"/>
    <w:rPr>
      <w:rFonts w:hint="default" w:ascii="KNLe" w:hAnsi="KNLe"/>
      <w:spacing w:val="16"/>
      <w:sz w:val="24"/>
      <w:szCs w:val="24"/>
    </w:rPr>
  </w:style>
  <w:style w:type="character" w:customStyle="1" w:styleId="283">
    <w:name w:val="rvts54"/>
    <w:qFormat/>
    <w:uiPriority w:val="0"/>
    <w:rPr>
      <w:rFonts w:hint="default" w:ascii="Times New Roman" w:hAnsi="Times New Roman" w:cs="Times New Roman"/>
      <w:b/>
      <w:bCs/>
      <w:sz w:val="36"/>
      <w:szCs w:val="36"/>
    </w:rPr>
  </w:style>
  <w:style w:type="character" w:customStyle="1" w:styleId="284">
    <w:name w:val="称呼 Char1"/>
    <w:basedOn w:val="60"/>
    <w:qFormat/>
    <w:uiPriority w:val="0"/>
  </w:style>
  <w:style w:type="character" w:customStyle="1" w:styleId="285">
    <w:name w:val="rvts42"/>
    <w:qFormat/>
    <w:uiPriority w:val="0"/>
    <w:rPr>
      <w:rFonts w:hint="default" w:ascii="KNLe" w:hAnsi="KNLe"/>
      <w:color w:val="000000"/>
      <w:spacing w:val="16"/>
      <w:sz w:val="24"/>
      <w:szCs w:val="24"/>
    </w:rPr>
  </w:style>
  <w:style w:type="character" w:customStyle="1" w:styleId="286">
    <w:name w:val="rvts60"/>
    <w:qFormat/>
    <w:uiPriority w:val="0"/>
    <w:rPr>
      <w:rFonts w:hint="default" w:ascii="Times New Roman" w:hAnsi="Times New Roman" w:cs="Times New Roman"/>
      <w:sz w:val="32"/>
      <w:szCs w:val="32"/>
    </w:rPr>
  </w:style>
  <w:style w:type="character" w:customStyle="1" w:styleId="287">
    <w:name w:val="font161"/>
    <w:qFormat/>
    <w:uiPriority w:val="0"/>
    <w:rPr>
      <w:b/>
      <w:sz w:val="32"/>
    </w:rPr>
  </w:style>
  <w:style w:type="character" w:customStyle="1" w:styleId="288">
    <w:name w:val="rvts101"/>
    <w:qFormat/>
    <w:uiPriority w:val="0"/>
    <w:rPr>
      <w:rFonts w:hint="default" w:ascii="Times New Roman" w:hAnsi="Times New Roman" w:cs="Times New Roman"/>
      <w:sz w:val="28"/>
      <w:szCs w:val="28"/>
      <w:u w:val="none"/>
    </w:rPr>
  </w:style>
  <w:style w:type="character" w:customStyle="1" w:styleId="289">
    <w:name w:val="rvts35"/>
    <w:qFormat/>
    <w:uiPriority w:val="0"/>
    <w:rPr>
      <w:rFonts w:hint="default" w:ascii="KNLe" w:hAnsi="KNLe"/>
      <w:b/>
      <w:bCs/>
      <w:color w:val="000000"/>
      <w:spacing w:val="16"/>
      <w:sz w:val="24"/>
      <w:szCs w:val="24"/>
    </w:rPr>
  </w:style>
  <w:style w:type="character" w:customStyle="1" w:styleId="290">
    <w:name w:val="rvts7"/>
    <w:qFormat/>
    <w:uiPriority w:val="0"/>
    <w:rPr>
      <w:rFonts w:hint="default" w:ascii=":ZLe" w:hAnsi=":ZLe"/>
      <w:sz w:val="32"/>
      <w:szCs w:val="32"/>
    </w:rPr>
  </w:style>
  <w:style w:type="character" w:customStyle="1" w:styleId="291">
    <w:name w:val="rvts111"/>
    <w:qFormat/>
    <w:uiPriority w:val="0"/>
    <w:rPr>
      <w:rFonts w:hint="default" w:ascii="KNLe" w:hAnsi="KNLe"/>
      <w:color w:val="0D6FFF"/>
      <w:sz w:val="24"/>
      <w:szCs w:val="24"/>
      <w:u w:val="single"/>
    </w:rPr>
  </w:style>
  <w:style w:type="character" w:customStyle="1" w:styleId="292">
    <w:name w:val="rvts84"/>
    <w:qFormat/>
    <w:uiPriority w:val="0"/>
    <w:rPr>
      <w:rFonts w:hint="default" w:ascii="KNLe" w:hAnsi="KNLe"/>
      <w:color w:val="000000"/>
      <w:spacing w:val="-16"/>
      <w:sz w:val="24"/>
      <w:szCs w:val="24"/>
    </w:rPr>
  </w:style>
  <w:style w:type="character" w:customStyle="1" w:styleId="293">
    <w:name w:val="rvts103"/>
    <w:qFormat/>
    <w:uiPriority w:val="0"/>
    <w:rPr>
      <w:rFonts w:hint="default" w:ascii="Times New Roman" w:hAnsi="Times New Roman" w:cs="Times New Roman"/>
      <w:sz w:val="30"/>
      <w:szCs w:val="30"/>
    </w:rPr>
  </w:style>
  <w:style w:type="character" w:customStyle="1" w:styleId="294">
    <w:name w:val="rvts10"/>
    <w:qFormat/>
    <w:uiPriority w:val="0"/>
    <w:rPr>
      <w:rFonts w:hint="default" w:ascii="KNLe" w:hAnsi="KNLe"/>
      <w:b/>
      <w:bCs/>
      <w:color w:val="000000"/>
      <w:sz w:val="28"/>
      <w:szCs w:val="28"/>
    </w:rPr>
  </w:style>
  <w:style w:type="character" w:customStyle="1" w:styleId="295">
    <w:name w:val="rvts94"/>
    <w:qFormat/>
    <w:uiPriority w:val="0"/>
    <w:rPr>
      <w:rFonts w:hint="default" w:ascii="Times New Roman" w:hAnsi="Times New Roman" w:cs="Times New Roman"/>
      <w:b/>
      <w:bCs/>
      <w:color w:val="000000"/>
      <w:sz w:val="28"/>
      <w:szCs w:val="28"/>
      <w:u w:val="single"/>
    </w:rPr>
  </w:style>
  <w:style w:type="character" w:customStyle="1" w:styleId="296">
    <w:name w:val="副标题 Char1"/>
    <w:qFormat/>
    <w:uiPriority w:val="11"/>
    <w:rPr>
      <w:rFonts w:ascii="Cambria" w:hAnsi="Cambria" w:cs="Times New Roman"/>
      <w:b/>
      <w:bCs/>
      <w:kern w:val="28"/>
      <w:sz w:val="32"/>
      <w:szCs w:val="32"/>
    </w:rPr>
  </w:style>
  <w:style w:type="character" w:customStyle="1" w:styleId="297">
    <w:name w:val="rvts57"/>
    <w:qFormat/>
    <w:uiPriority w:val="0"/>
    <w:rPr>
      <w:rFonts w:hint="default" w:ascii="KNLe" w:hAnsi="KNLe"/>
      <w:spacing w:val="16"/>
      <w:sz w:val="24"/>
      <w:szCs w:val="24"/>
    </w:rPr>
  </w:style>
  <w:style w:type="character" w:customStyle="1" w:styleId="298">
    <w:name w:val="rvts16"/>
    <w:qFormat/>
    <w:uiPriority w:val="0"/>
    <w:rPr>
      <w:rFonts w:hint="default" w:ascii="KNLe" w:hAnsi="KNLe"/>
      <w:color w:val="000000"/>
      <w:sz w:val="24"/>
      <w:szCs w:val="24"/>
      <w:u w:val="single"/>
    </w:rPr>
  </w:style>
  <w:style w:type="character" w:customStyle="1" w:styleId="299">
    <w:name w:val="rvts140"/>
    <w:qFormat/>
    <w:uiPriority w:val="0"/>
    <w:rPr>
      <w:rFonts w:hint="default" w:ascii="KNLe" w:hAnsi="KNLe"/>
      <w:b/>
      <w:bCs/>
    </w:rPr>
  </w:style>
  <w:style w:type="character" w:customStyle="1" w:styleId="300">
    <w:name w:val="rvts11"/>
    <w:qFormat/>
    <w:uiPriority w:val="0"/>
    <w:rPr>
      <w:rFonts w:hint="default" w:ascii="KNLe" w:hAnsi="KNLe"/>
      <w:sz w:val="24"/>
      <w:szCs w:val="24"/>
    </w:rPr>
  </w:style>
  <w:style w:type="character" w:customStyle="1" w:styleId="301">
    <w:name w:val="rvts128"/>
    <w:qFormat/>
    <w:uiPriority w:val="0"/>
    <w:rPr>
      <w:rFonts w:hint="default" w:ascii="Times New Roman" w:hAnsi="Times New Roman" w:cs="Times New Roman"/>
      <w:sz w:val="30"/>
      <w:szCs w:val="30"/>
      <w:u w:val="single"/>
    </w:rPr>
  </w:style>
  <w:style w:type="character" w:customStyle="1" w:styleId="302">
    <w:name w:val="rvts72"/>
    <w:qFormat/>
    <w:uiPriority w:val="0"/>
    <w:rPr>
      <w:rFonts w:hint="default" w:ascii="KNLe" w:hAnsi="KNLe"/>
      <w:color w:val="000000"/>
      <w:sz w:val="24"/>
      <w:szCs w:val="24"/>
    </w:rPr>
  </w:style>
  <w:style w:type="character" w:customStyle="1" w:styleId="303">
    <w:name w:val="rvts129"/>
    <w:qFormat/>
    <w:uiPriority w:val="0"/>
    <w:rPr>
      <w:rFonts w:hint="eastAsia" w:ascii="Arial Unicode MS" w:hAnsi="Arial Unicode MS" w:eastAsia="Arial Unicode MS" w:cs="Arial Unicode MS"/>
      <w:color w:val="000000"/>
      <w:sz w:val="30"/>
      <w:szCs w:val="30"/>
    </w:rPr>
  </w:style>
  <w:style w:type="character" w:customStyle="1" w:styleId="304">
    <w:name w:val="rvts58"/>
    <w:qFormat/>
    <w:uiPriority w:val="0"/>
    <w:rPr>
      <w:rFonts w:hint="default" w:ascii="KNLe" w:hAnsi="KNLe"/>
      <w:spacing w:val="16"/>
      <w:sz w:val="24"/>
      <w:szCs w:val="24"/>
    </w:rPr>
  </w:style>
  <w:style w:type="character" w:customStyle="1" w:styleId="305">
    <w:name w:val="rvts48"/>
    <w:qFormat/>
    <w:uiPriority w:val="0"/>
    <w:rPr>
      <w:rFonts w:hint="default" w:ascii="KNLe" w:hAnsi="KNLe"/>
      <w:color w:val="000000"/>
      <w:spacing w:val="16"/>
      <w:sz w:val="24"/>
      <w:szCs w:val="24"/>
    </w:rPr>
  </w:style>
  <w:style w:type="character" w:customStyle="1" w:styleId="306">
    <w:name w:val="rvts142"/>
    <w:qFormat/>
    <w:uiPriority w:val="0"/>
    <w:rPr>
      <w:rFonts w:hint="default" w:ascii="KNLe" w:hAnsi="KNLe"/>
      <w:color w:val="FF0000"/>
      <w:u w:val="single"/>
      <w:shd w:val="clear" w:color="auto" w:fill="FFFF00"/>
    </w:rPr>
  </w:style>
  <w:style w:type="character" w:customStyle="1" w:styleId="307">
    <w:name w:val="rvts9"/>
    <w:qFormat/>
    <w:uiPriority w:val="0"/>
    <w:rPr>
      <w:rFonts w:hint="default" w:ascii="KNLe" w:hAnsi="KNLe"/>
    </w:rPr>
  </w:style>
  <w:style w:type="character" w:customStyle="1" w:styleId="308">
    <w:name w:val="rvts38"/>
    <w:qFormat/>
    <w:uiPriority w:val="0"/>
    <w:rPr>
      <w:rFonts w:hint="default" w:ascii="KNLe" w:hAnsi="KNLe"/>
      <w:b/>
      <w:bCs/>
      <w:color w:val="000000"/>
      <w:spacing w:val="16"/>
      <w:sz w:val="24"/>
      <w:szCs w:val="24"/>
    </w:rPr>
  </w:style>
  <w:style w:type="character" w:customStyle="1" w:styleId="309">
    <w:name w:val="rvts33"/>
    <w:qFormat/>
    <w:uiPriority w:val="0"/>
    <w:rPr>
      <w:rFonts w:hint="default" w:ascii="KNLe" w:hAnsi="KNLe"/>
      <w:b/>
      <w:bCs/>
      <w:color w:val="000000"/>
      <w:spacing w:val="16"/>
      <w:sz w:val="24"/>
      <w:szCs w:val="24"/>
    </w:rPr>
  </w:style>
  <w:style w:type="character" w:customStyle="1" w:styleId="310">
    <w:name w:val="rvts5"/>
    <w:qFormat/>
    <w:uiPriority w:val="0"/>
    <w:rPr>
      <w:color w:val="008000"/>
      <w:u w:val="single"/>
    </w:rPr>
  </w:style>
  <w:style w:type="character" w:customStyle="1" w:styleId="311">
    <w:name w:val="rvts151"/>
    <w:qFormat/>
    <w:uiPriority w:val="0"/>
    <w:rPr>
      <w:rFonts w:hint="default" w:ascii="KNLe" w:hAnsi="KNLe"/>
      <w:color w:val="FF0000"/>
    </w:rPr>
  </w:style>
  <w:style w:type="character" w:customStyle="1" w:styleId="312">
    <w:name w:val="rvts25"/>
    <w:qFormat/>
    <w:uiPriority w:val="0"/>
    <w:rPr>
      <w:rFonts w:hint="default" w:ascii="Calibri" w:hAnsi="Calibri"/>
      <w:sz w:val="22"/>
      <w:szCs w:val="22"/>
      <w:u w:val="single"/>
    </w:rPr>
  </w:style>
  <w:style w:type="character" w:customStyle="1" w:styleId="313">
    <w:name w:val="rvts130"/>
    <w:qFormat/>
    <w:uiPriority w:val="0"/>
    <w:rPr>
      <w:rFonts w:hint="default" w:ascii="7BKN_gb2312" w:hAnsi="7BKN_gb2312"/>
      <w:color w:val="000000"/>
      <w:sz w:val="28"/>
      <w:szCs w:val="28"/>
    </w:rPr>
  </w:style>
  <w:style w:type="character" w:customStyle="1" w:styleId="314">
    <w:name w:val="rvts32"/>
    <w:qFormat/>
    <w:uiPriority w:val="0"/>
    <w:rPr>
      <w:rFonts w:hint="default" w:ascii="KNLe" w:hAnsi="KNLe"/>
      <w:b/>
      <w:bCs/>
      <w:color w:val="000000"/>
      <w:spacing w:val="16"/>
      <w:sz w:val="24"/>
      <w:szCs w:val="24"/>
    </w:rPr>
  </w:style>
  <w:style w:type="character" w:customStyle="1" w:styleId="315">
    <w:name w:val="rvts161"/>
    <w:qFormat/>
    <w:uiPriority w:val="0"/>
    <w:rPr>
      <w:rFonts w:hint="default" w:ascii="KNLe" w:hAnsi="KNLe"/>
      <w:color w:val="000000"/>
      <w:u w:val="single"/>
      <w:shd w:val="clear" w:color="auto" w:fill="FFFF00"/>
    </w:rPr>
  </w:style>
  <w:style w:type="character" w:customStyle="1" w:styleId="316">
    <w:name w:val="rvts89"/>
    <w:qFormat/>
    <w:uiPriority w:val="0"/>
    <w:rPr>
      <w:rFonts w:hint="default" w:ascii="KNLe" w:hAnsi="KNLe"/>
      <w:color w:val="000000"/>
      <w:sz w:val="24"/>
      <w:szCs w:val="24"/>
    </w:rPr>
  </w:style>
  <w:style w:type="character" w:customStyle="1" w:styleId="317">
    <w:name w:val="rvts150"/>
    <w:qFormat/>
    <w:uiPriority w:val="0"/>
    <w:rPr>
      <w:rFonts w:hint="default" w:ascii="KNLe" w:hAnsi="KNLe"/>
      <w:b/>
      <w:bCs/>
      <w:color w:val="000000"/>
    </w:rPr>
  </w:style>
  <w:style w:type="character" w:customStyle="1" w:styleId="318">
    <w:name w:val="rvts22"/>
    <w:qFormat/>
    <w:uiPriority w:val="0"/>
    <w:rPr>
      <w:rFonts w:hint="default" w:ascii="KNLe" w:hAnsi="KNLe"/>
      <w:sz w:val="24"/>
      <w:szCs w:val="24"/>
    </w:rPr>
  </w:style>
  <w:style w:type="character" w:customStyle="1" w:styleId="319">
    <w:name w:val="rvts46"/>
    <w:qFormat/>
    <w:uiPriority w:val="0"/>
    <w:rPr>
      <w:rFonts w:hint="default" w:ascii="KNLe" w:hAnsi="KNLe"/>
      <w:color w:val="000000"/>
      <w:spacing w:val="16"/>
      <w:sz w:val="24"/>
      <w:szCs w:val="24"/>
    </w:rPr>
  </w:style>
  <w:style w:type="character" w:customStyle="1" w:styleId="320">
    <w:name w:val="rvts21"/>
    <w:qFormat/>
    <w:uiPriority w:val="0"/>
    <w:rPr>
      <w:rFonts w:hint="default" w:ascii="KNLe" w:hAnsi="KNLe"/>
      <w:color w:val="000000"/>
    </w:rPr>
  </w:style>
  <w:style w:type="character" w:customStyle="1" w:styleId="321">
    <w:name w:val="正文文本 3 Char1"/>
    <w:qFormat/>
    <w:uiPriority w:val="0"/>
    <w:rPr>
      <w:sz w:val="16"/>
      <w:szCs w:val="16"/>
    </w:rPr>
  </w:style>
  <w:style w:type="character" w:customStyle="1" w:styleId="322">
    <w:name w:val="rvts91"/>
    <w:qFormat/>
    <w:uiPriority w:val="0"/>
    <w:rPr>
      <w:rFonts w:hint="default" w:ascii="KNLe" w:hAnsi="KNLe"/>
      <w:color w:val="000000"/>
      <w:sz w:val="24"/>
      <w:szCs w:val="24"/>
    </w:rPr>
  </w:style>
  <w:style w:type="character" w:customStyle="1" w:styleId="323">
    <w:name w:val="rvts18"/>
    <w:qFormat/>
    <w:uiPriority w:val="0"/>
    <w:rPr>
      <w:rFonts w:hint="default" w:ascii="Times New Roman" w:hAnsi="Times New Roman" w:cs="Times New Roman"/>
      <w:color w:val="000000"/>
      <w:sz w:val="24"/>
      <w:szCs w:val="24"/>
      <w:u w:val="single"/>
    </w:rPr>
  </w:style>
  <w:style w:type="character" w:customStyle="1" w:styleId="324">
    <w:name w:val="rvts30"/>
    <w:qFormat/>
    <w:uiPriority w:val="0"/>
    <w:rPr>
      <w:rFonts w:hint="default" w:ascii="Times New Roman" w:hAnsi="Times New Roman" w:cs="Times New Roman"/>
    </w:rPr>
  </w:style>
  <w:style w:type="character" w:customStyle="1" w:styleId="325">
    <w:name w:val="rvts45"/>
    <w:qFormat/>
    <w:uiPriority w:val="0"/>
    <w:rPr>
      <w:rFonts w:hint="default" w:ascii="KNLe" w:hAnsi="KNLe"/>
      <w:color w:val="000000"/>
      <w:spacing w:val="16"/>
      <w:sz w:val="24"/>
      <w:szCs w:val="24"/>
    </w:rPr>
  </w:style>
  <w:style w:type="character" w:customStyle="1" w:styleId="326">
    <w:name w:val="rvts20"/>
    <w:qFormat/>
    <w:uiPriority w:val="0"/>
    <w:rPr>
      <w:rFonts w:hint="default" w:ascii="Verdana" w:hAnsi="Verdana"/>
      <w:color w:val="000000"/>
      <w:sz w:val="22"/>
      <w:szCs w:val="22"/>
      <w:u w:val="single"/>
    </w:rPr>
  </w:style>
  <w:style w:type="character" w:customStyle="1" w:styleId="327">
    <w:name w:val="rvts31"/>
    <w:qFormat/>
    <w:uiPriority w:val="0"/>
    <w:rPr>
      <w:rFonts w:hint="default" w:ascii="KNLe" w:hAnsi="KNLe"/>
      <w:b/>
      <w:bCs/>
    </w:rPr>
  </w:style>
  <w:style w:type="character" w:customStyle="1" w:styleId="328">
    <w:name w:val="rvts66"/>
    <w:qFormat/>
    <w:uiPriority w:val="0"/>
    <w:rPr>
      <w:rFonts w:hint="default" w:ascii="KNLe" w:hAnsi="KNLe"/>
      <w:b/>
      <w:bCs/>
      <w:sz w:val="32"/>
      <w:szCs w:val="32"/>
    </w:rPr>
  </w:style>
  <w:style w:type="character" w:customStyle="1" w:styleId="329">
    <w:name w:val="rvts162"/>
    <w:qFormat/>
    <w:uiPriority w:val="0"/>
    <w:rPr>
      <w:rFonts w:hint="default" w:ascii="KNLe" w:hAnsi="KNLe"/>
      <w:color w:val="000000"/>
      <w:shd w:val="clear" w:color="auto" w:fill="FFFF00"/>
    </w:rPr>
  </w:style>
  <w:style w:type="character" w:customStyle="1" w:styleId="330">
    <w:name w:val="rvts27"/>
    <w:qFormat/>
    <w:uiPriority w:val="0"/>
    <w:rPr>
      <w:rFonts w:hint="default" w:ascii="KNLe" w:hAnsi="KNLe"/>
      <w:b/>
      <w:bCs/>
      <w:sz w:val="24"/>
      <w:szCs w:val="24"/>
    </w:rPr>
  </w:style>
  <w:style w:type="character" w:customStyle="1" w:styleId="331">
    <w:name w:val="rvts59"/>
    <w:qFormat/>
    <w:uiPriority w:val="0"/>
    <w:rPr>
      <w:rFonts w:hint="default" w:ascii="7BKN_gb2312" w:hAnsi="7BKN_gb2312"/>
      <w:sz w:val="32"/>
      <w:szCs w:val="32"/>
    </w:rPr>
  </w:style>
  <w:style w:type="character" w:customStyle="1" w:styleId="332">
    <w:name w:val="rvts50"/>
    <w:qFormat/>
    <w:uiPriority w:val="0"/>
    <w:rPr>
      <w:rFonts w:hint="default" w:ascii="KNLe" w:hAnsi="KNLe"/>
      <w:color w:val="000000"/>
      <w:spacing w:val="16"/>
      <w:sz w:val="24"/>
      <w:szCs w:val="24"/>
    </w:rPr>
  </w:style>
  <w:style w:type="character" w:customStyle="1" w:styleId="333">
    <w:name w:val="rvts23"/>
    <w:qFormat/>
    <w:uiPriority w:val="0"/>
    <w:rPr>
      <w:color w:val="000000"/>
      <w:sz w:val="24"/>
      <w:szCs w:val="24"/>
    </w:rPr>
  </w:style>
  <w:style w:type="character" w:customStyle="1" w:styleId="334">
    <w:name w:val="rvts29"/>
    <w:qFormat/>
    <w:uiPriority w:val="0"/>
    <w:rPr>
      <w:rFonts w:hint="default" w:ascii="KNLe" w:hAnsi="KNLe"/>
      <w:b/>
      <w:bCs/>
      <w:color w:val="000000"/>
      <w:spacing w:val="16"/>
      <w:sz w:val="24"/>
      <w:szCs w:val="24"/>
    </w:rPr>
  </w:style>
  <w:style w:type="character" w:customStyle="1" w:styleId="335">
    <w:name w:val="rvts118"/>
    <w:qFormat/>
    <w:uiPriority w:val="0"/>
    <w:rPr>
      <w:rFonts w:hint="default" w:ascii="Times New Roman" w:hAnsi="Times New Roman" w:cs="Times New Roman"/>
      <w:color w:val="FF0000"/>
      <w:sz w:val="30"/>
      <w:szCs w:val="30"/>
      <w:u w:val="single"/>
    </w:rPr>
  </w:style>
  <w:style w:type="character" w:customStyle="1" w:styleId="336">
    <w:name w:val="rvts86"/>
    <w:qFormat/>
    <w:uiPriority w:val="0"/>
    <w:rPr>
      <w:rFonts w:hint="default" w:ascii="KNLe" w:hAnsi="KNLe"/>
      <w:sz w:val="24"/>
      <w:szCs w:val="24"/>
      <w:u w:val="single"/>
    </w:rPr>
  </w:style>
  <w:style w:type="character" w:customStyle="1" w:styleId="337">
    <w:name w:val="rvts106"/>
    <w:qFormat/>
    <w:uiPriority w:val="0"/>
    <w:rPr>
      <w:rFonts w:hint="default" w:ascii="Times New Roman" w:hAnsi="Times New Roman" w:cs="Times New Roman"/>
      <w:color w:val="0000FF"/>
      <w:u w:val="single"/>
    </w:rPr>
  </w:style>
  <w:style w:type="character" w:customStyle="1" w:styleId="338">
    <w:name w:val="rvts68"/>
    <w:qFormat/>
    <w:uiPriority w:val="0"/>
    <w:rPr>
      <w:rFonts w:hint="default" w:ascii="KNLe" w:hAnsi="KNLe"/>
      <w:sz w:val="24"/>
      <w:szCs w:val="24"/>
      <w:u w:val="single"/>
    </w:rPr>
  </w:style>
  <w:style w:type="character" w:customStyle="1" w:styleId="339">
    <w:name w:val="rvts56"/>
    <w:qFormat/>
    <w:uiPriority w:val="0"/>
    <w:rPr>
      <w:rFonts w:hint="default" w:ascii="KNLe" w:hAnsi="KNLe"/>
      <w:color w:val="000000"/>
      <w:sz w:val="30"/>
      <w:szCs w:val="30"/>
    </w:rPr>
  </w:style>
  <w:style w:type="character" w:customStyle="1" w:styleId="340">
    <w:name w:val="rvts110"/>
    <w:qFormat/>
    <w:uiPriority w:val="0"/>
    <w:rPr>
      <w:rFonts w:hint="default" w:ascii="Times New Roman" w:hAnsi="Times New Roman" w:cs="Times New Roman"/>
      <w:b/>
      <w:bCs/>
      <w:color w:val="000000"/>
      <w:sz w:val="30"/>
      <w:szCs w:val="30"/>
      <w:u w:val="single"/>
    </w:rPr>
  </w:style>
  <w:style w:type="character" w:customStyle="1" w:styleId="341">
    <w:name w:val="rvts19"/>
    <w:qFormat/>
    <w:uiPriority w:val="0"/>
    <w:rPr>
      <w:rFonts w:hint="default" w:ascii="KNLe" w:hAnsi="KNLe"/>
      <w:color w:val="000000"/>
      <w:sz w:val="22"/>
      <w:szCs w:val="22"/>
      <w:u w:val="single"/>
    </w:rPr>
  </w:style>
  <w:style w:type="character" w:customStyle="1" w:styleId="342">
    <w:name w:val="rvts121"/>
    <w:qFormat/>
    <w:uiPriority w:val="0"/>
    <w:rPr>
      <w:rFonts w:hint="default" w:ascii=":ZLe" w:hAnsi=":ZLe"/>
      <w:b/>
      <w:bCs/>
      <w:color w:val="000000"/>
      <w:sz w:val="32"/>
      <w:szCs w:val="32"/>
    </w:rPr>
  </w:style>
  <w:style w:type="character" w:customStyle="1" w:styleId="343">
    <w:name w:val="rvts26"/>
    <w:qFormat/>
    <w:uiPriority w:val="0"/>
    <w:rPr>
      <w:rFonts w:hint="default" w:ascii="KNLe" w:hAnsi="KNLe"/>
      <w:color w:val="000000"/>
      <w:sz w:val="22"/>
      <w:szCs w:val="22"/>
      <w:u w:val="single"/>
    </w:rPr>
  </w:style>
  <w:style w:type="character" w:customStyle="1" w:styleId="344">
    <w:name w:val="rvts88"/>
    <w:qFormat/>
    <w:uiPriority w:val="0"/>
    <w:rPr>
      <w:rFonts w:hint="default" w:ascii="KNLe" w:hAnsi="KNLe"/>
      <w:b/>
      <w:bCs/>
      <w:color w:val="000000"/>
      <w:sz w:val="28"/>
      <w:szCs w:val="28"/>
    </w:rPr>
  </w:style>
  <w:style w:type="character" w:customStyle="1" w:styleId="345">
    <w:name w:val="rvts13"/>
    <w:qFormat/>
    <w:uiPriority w:val="0"/>
    <w:rPr>
      <w:rFonts w:hint="default" w:ascii="KNLe" w:hAnsi="KNLe"/>
      <w:b/>
      <w:bCs/>
      <w:sz w:val="22"/>
      <w:szCs w:val="22"/>
      <w:u w:val="single"/>
    </w:rPr>
  </w:style>
  <w:style w:type="character" w:customStyle="1" w:styleId="346">
    <w:name w:val="rvts98"/>
    <w:qFormat/>
    <w:uiPriority w:val="0"/>
    <w:rPr>
      <w:rFonts w:hint="default" w:ascii="Times New Roman" w:hAnsi="Times New Roman" w:cs="Times New Roman"/>
      <w:b/>
      <w:bCs/>
      <w:sz w:val="44"/>
      <w:szCs w:val="44"/>
    </w:rPr>
  </w:style>
  <w:style w:type="character" w:customStyle="1" w:styleId="347">
    <w:name w:val="rvts40"/>
    <w:qFormat/>
    <w:uiPriority w:val="0"/>
    <w:rPr>
      <w:rFonts w:hint="default" w:ascii="KNLe" w:hAnsi="KNLe"/>
      <w:b/>
      <w:bCs/>
      <w:spacing w:val="16"/>
      <w:sz w:val="24"/>
      <w:szCs w:val="24"/>
    </w:rPr>
  </w:style>
  <w:style w:type="character" w:customStyle="1" w:styleId="348">
    <w:name w:val="rvts116"/>
    <w:qFormat/>
    <w:uiPriority w:val="0"/>
    <w:rPr>
      <w:rFonts w:hint="default" w:ascii="Times New Roman" w:hAnsi="Times New Roman" w:cs="Times New Roman"/>
      <w:color w:val="000000"/>
      <w:sz w:val="30"/>
      <w:szCs w:val="30"/>
    </w:rPr>
  </w:style>
  <w:style w:type="character" w:customStyle="1" w:styleId="349">
    <w:name w:val="rvts62"/>
    <w:qFormat/>
    <w:uiPriority w:val="0"/>
    <w:rPr>
      <w:rFonts w:hint="default" w:ascii=";*NDVPKN" w:hAnsi=";*NDVPKN"/>
      <w:b/>
      <w:bCs/>
      <w:sz w:val="72"/>
      <w:szCs w:val="72"/>
    </w:rPr>
  </w:style>
  <w:style w:type="character" w:customStyle="1" w:styleId="350">
    <w:name w:val="rvts134"/>
    <w:qFormat/>
    <w:uiPriority w:val="0"/>
    <w:rPr>
      <w:rFonts w:hint="default" w:ascii="*ndvpkn" w:hAnsi="*ndvpkn"/>
      <w:b/>
      <w:bCs/>
      <w:sz w:val="44"/>
      <w:szCs w:val="44"/>
    </w:rPr>
  </w:style>
  <w:style w:type="character" w:customStyle="1" w:styleId="351">
    <w:name w:val="rvts90"/>
    <w:qFormat/>
    <w:uiPriority w:val="0"/>
    <w:rPr>
      <w:rFonts w:hint="default" w:ascii="KNLe" w:hAnsi="KNLe"/>
      <w:color w:val="000000"/>
      <w:sz w:val="24"/>
      <w:szCs w:val="24"/>
      <w:u w:val="single"/>
    </w:rPr>
  </w:style>
  <w:style w:type="character" w:customStyle="1" w:styleId="352">
    <w:name w:val="rvts37"/>
    <w:qFormat/>
    <w:uiPriority w:val="0"/>
    <w:rPr>
      <w:rFonts w:hint="default" w:ascii="KNLe" w:hAnsi="KNLe"/>
      <w:b/>
      <w:bCs/>
      <w:color w:val="000000"/>
      <w:spacing w:val="16"/>
      <w:sz w:val="24"/>
      <w:szCs w:val="24"/>
    </w:rPr>
  </w:style>
  <w:style w:type="character" w:customStyle="1" w:styleId="353">
    <w:name w:val="rvts141"/>
    <w:qFormat/>
    <w:uiPriority w:val="0"/>
    <w:rPr>
      <w:rFonts w:hint="default" w:ascii="KNLe" w:hAnsi="KNLe"/>
      <w:color w:val="FF0000"/>
    </w:rPr>
  </w:style>
  <w:style w:type="character" w:customStyle="1" w:styleId="354">
    <w:name w:val="rvts24"/>
    <w:qFormat/>
    <w:uiPriority w:val="0"/>
    <w:rPr>
      <w:rFonts w:hint="default" w:ascii="KNLe" w:hAnsi="KNLe"/>
      <w:b/>
      <w:bCs/>
      <w:sz w:val="24"/>
      <w:szCs w:val="24"/>
    </w:rPr>
  </w:style>
  <w:style w:type="paragraph" w:customStyle="1" w:styleId="355">
    <w:name w:val="表格"/>
    <w:basedOn w:val="1"/>
    <w:qFormat/>
    <w:uiPriority w:val="0"/>
    <w:pPr>
      <w:jc w:val="center"/>
      <w:textAlignment w:val="center"/>
    </w:pPr>
    <w:rPr>
      <w:rFonts w:ascii="华文细黑" w:hAnsi="华文细黑" w:eastAsia="宋体" w:cs="Times New Roman"/>
      <w:kern w:val="0"/>
      <w:szCs w:val="20"/>
    </w:rPr>
  </w:style>
  <w:style w:type="paragraph" w:customStyle="1" w:styleId="356">
    <w:name w:val="默认段落字体 Para Char Char Char Char Char Char Char"/>
    <w:basedOn w:val="1"/>
    <w:qFormat/>
    <w:uiPriority w:val="0"/>
    <w:rPr>
      <w:rFonts w:ascii="Tahoma" w:hAnsi="Tahoma" w:eastAsia="宋体" w:cs="Times New Roman"/>
      <w:sz w:val="24"/>
      <w:szCs w:val="20"/>
    </w:rPr>
  </w:style>
  <w:style w:type="paragraph" w:customStyle="1" w:styleId="357">
    <w:name w:val="样式 标题 1 + 非加粗 黑色"/>
    <w:basedOn w:val="2"/>
    <w:qFormat/>
    <w:uiPriority w:val="0"/>
    <w:pPr>
      <w:pageBreakBefore w:val="0"/>
      <w:tabs>
        <w:tab w:val="left" w:pos="600"/>
      </w:tabs>
      <w:adjustRightInd/>
      <w:snapToGrid/>
      <w:spacing w:line="578" w:lineRule="auto"/>
    </w:pPr>
    <w:rPr>
      <w:rFonts w:ascii="Times New Roman" w:hAnsi="Times New Roman" w:eastAsia="宋体" w:cs="Times New Roman"/>
      <w:b/>
      <w:color w:val="000000"/>
      <w:kern w:val="44"/>
      <w:sz w:val="48"/>
      <w:szCs w:val="44"/>
    </w:rPr>
  </w:style>
  <w:style w:type="paragraph" w:customStyle="1" w:styleId="358">
    <w:name w:val="Char1"/>
    <w:basedOn w:val="1"/>
    <w:qFormat/>
    <w:uiPriority w:val="0"/>
    <w:pPr>
      <w:tabs>
        <w:tab w:val="left" w:pos="360"/>
      </w:tabs>
    </w:pPr>
    <w:rPr>
      <w:rFonts w:ascii="Times New Roman" w:hAnsi="Times New Roman" w:eastAsia="宋体" w:cs="Times New Roman"/>
      <w:sz w:val="24"/>
      <w:szCs w:val="24"/>
    </w:rPr>
  </w:style>
  <w:style w:type="paragraph" w:customStyle="1" w:styleId="359">
    <w:name w:val="WangHui"/>
    <w:basedOn w:val="1"/>
    <w:qFormat/>
    <w:uiPriority w:val="0"/>
    <w:rPr>
      <w:rFonts w:ascii="仿宋_GB2312" w:hAnsi="Times New Roman" w:eastAsia="仿宋_GB2312" w:cs="Times New Roman"/>
      <w:sz w:val="28"/>
      <w:szCs w:val="20"/>
    </w:rPr>
  </w:style>
  <w:style w:type="paragraph" w:customStyle="1" w:styleId="360">
    <w:name w:val="Char Char Char1 Char Char Char Char Char Char Char"/>
    <w:basedOn w:val="1"/>
    <w:qFormat/>
    <w:uiPriority w:val="0"/>
    <w:rPr>
      <w:rFonts w:ascii="Tahoma" w:hAnsi="Tahoma" w:eastAsia="宋体" w:cs="Times New Roman"/>
      <w:sz w:val="24"/>
      <w:szCs w:val="20"/>
    </w:rPr>
  </w:style>
  <w:style w:type="paragraph" w:customStyle="1" w:styleId="361">
    <w:name w:val="1 Char"/>
    <w:basedOn w:val="1"/>
    <w:qFormat/>
    <w:uiPriority w:val="0"/>
    <w:rPr>
      <w:rFonts w:ascii="Tahoma" w:hAnsi="Tahoma" w:eastAsia="宋体" w:cs="Times New Roman"/>
      <w:sz w:val="24"/>
      <w:szCs w:val="20"/>
    </w:rPr>
  </w:style>
  <w:style w:type="paragraph" w:customStyle="1" w:styleId="362">
    <w:name w:val="rvps1"/>
    <w:basedOn w:val="1"/>
    <w:qFormat/>
    <w:uiPriority w:val="0"/>
    <w:pPr>
      <w:widowControl/>
      <w:jc w:val="center"/>
    </w:pPr>
    <w:rPr>
      <w:rFonts w:ascii="Times New Roman" w:hAnsi="Times New Roman" w:eastAsia="宋体" w:cs="Times New Roman"/>
      <w:kern w:val="0"/>
      <w:sz w:val="24"/>
      <w:szCs w:val="24"/>
    </w:rPr>
  </w:style>
  <w:style w:type="paragraph" w:customStyle="1" w:styleId="363">
    <w:name w:val="Char11"/>
    <w:basedOn w:val="1"/>
    <w:qFormat/>
    <w:uiPriority w:val="0"/>
    <w:pPr>
      <w:tabs>
        <w:tab w:val="left" w:pos="360"/>
      </w:tabs>
    </w:pPr>
    <w:rPr>
      <w:rFonts w:ascii="Times New Roman" w:hAnsi="Times New Roman" w:eastAsia="宋体" w:cs="Times New Roman"/>
      <w:sz w:val="24"/>
      <w:szCs w:val="24"/>
    </w:rPr>
  </w:style>
  <w:style w:type="paragraph" w:customStyle="1" w:styleId="364">
    <w:name w:val="Char Char Char Char Char Char"/>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65">
    <w:name w:val="Char Char Char1 Char Char Char Char"/>
    <w:basedOn w:val="1"/>
    <w:qFormat/>
    <w:uiPriority w:val="0"/>
    <w:rPr>
      <w:rFonts w:ascii="Tahoma" w:hAnsi="Tahoma" w:eastAsia="宋体" w:cs="Times New Roman"/>
      <w:sz w:val="24"/>
      <w:szCs w:val="20"/>
    </w:rPr>
  </w:style>
  <w:style w:type="paragraph" w:customStyle="1" w:styleId="366">
    <w:name w:val="Char2"/>
    <w:basedOn w:val="1"/>
    <w:qFormat/>
    <w:uiPriority w:val="0"/>
    <w:rPr>
      <w:rFonts w:ascii="Times New Roman" w:hAnsi="Times New Roman" w:eastAsia="宋体" w:cs="Times New Roman"/>
      <w:szCs w:val="20"/>
    </w:rPr>
  </w:style>
  <w:style w:type="paragraph" w:customStyle="1" w:styleId="367">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368">
    <w:name w:val="样式 标题 1 + 黑体 三号 非加粗 居中 段前: 6 磅 段后: 6 磅 行距: 固定值 20 磅"/>
    <w:basedOn w:val="2"/>
    <w:qFormat/>
    <w:uiPriority w:val="0"/>
    <w:pPr>
      <w:pageBreakBefore w:val="0"/>
      <w:tabs>
        <w:tab w:val="left" w:pos="600"/>
      </w:tabs>
      <w:adjustRightInd/>
      <w:snapToGrid/>
      <w:spacing w:before="120" w:after="120" w:line="400" w:lineRule="exact"/>
    </w:pPr>
    <w:rPr>
      <w:rFonts w:hAnsi="黑体" w:cs="Times New Roman"/>
      <w:kern w:val="44"/>
    </w:rPr>
  </w:style>
  <w:style w:type="paragraph" w:customStyle="1" w:styleId="369">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370">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paragraph" w:customStyle="1" w:styleId="371">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72">
    <w:name w:val="正文 + 行距: 固定值 20 磅"/>
    <w:basedOn w:val="1"/>
    <w:qFormat/>
    <w:uiPriority w:val="0"/>
    <w:pPr>
      <w:spacing w:line="400" w:lineRule="exact"/>
      <w:ind w:firstLine="716" w:firstLineChars="341"/>
    </w:pPr>
    <w:rPr>
      <w:rFonts w:ascii="Times New Roman" w:hAnsi="Times New Roman" w:eastAsia="宋体" w:cs="Times New Roman"/>
      <w:szCs w:val="20"/>
    </w:rPr>
  </w:style>
  <w:style w:type="paragraph" w:customStyle="1" w:styleId="373">
    <w:name w:val="修订111"/>
    <w:qFormat/>
    <w:uiPriority w:val="99"/>
    <w:rPr>
      <w:rFonts w:ascii="Times New Roman" w:hAnsi="Times New Roman" w:eastAsia="宋体" w:cs="Times New Roman"/>
      <w:lang w:val="en-US" w:eastAsia="zh-CN" w:bidi="ar-SA"/>
    </w:rPr>
  </w:style>
  <w:style w:type="paragraph" w:customStyle="1" w:styleId="374">
    <w:name w:val="Char Char Char Char Char Char Char Char Char Char Char Char Char"/>
    <w:basedOn w:val="1"/>
    <w:qFormat/>
    <w:uiPriority w:val="0"/>
    <w:pPr>
      <w:widowControl/>
      <w:spacing w:after="160" w:line="240" w:lineRule="exact"/>
    </w:pPr>
    <w:rPr>
      <w:rFonts w:ascii="Times New Roman" w:hAnsi="Times New Roman" w:eastAsia="宋体" w:cs="Arial"/>
      <w:kern w:val="0"/>
      <w:sz w:val="22"/>
      <w:szCs w:val="20"/>
      <w:lang w:eastAsia="en-US"/>
    </w:rPr>
  </w:style>
  <w:style w:type="paragraph" w:customStyle="1" w:styleId="375">
    <w:name w:val="Char Char Char Char Char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6">
    <w:name w:val="Char Char Char Char1"/>
    <w:basedOn w:val="1"/>
    <w:qFormat/>
    <w:uiPriority w:val="0"/>
    <w:rPr>
      <w:rFonts w:ascii="Times New Roman" w:hAnsi="Times New Roman" w:eastAsia="宋体" w:cs="Times New Roman"/>
      <w:szCs w:val="20"/>
    </w:rPr>
  </w:style>
  <w:style w:type="paragraph" w:customStyle="1" w:styleId="377">
    <w:name w:val="修订11"/>
    <w:semiHidden/>
    <w:qFormat/>
    <w:uiPriority w:val="99"/>
    <w:rPr>
      <w:rFonts w:ascii="Times New Roman" w:hAnsi="Times New Roman" w:eastAsia="宋体" w:cs="Times New Roman"/>
      <w:lang w:val="en-US" w:eastAsia="zh-CN" w:bidi="ar-SA"/>
    </w:rPr>
  </w:style>
  <w:style w:type="paragraph" w:customStyle="1" w:styleId="378">
    <w:name w:val="Char Char Char Char Char Char Char Char Char Char Char Char Char1"/>
    <w:basedOn w:val="1"/>
    <w:qFormat/>
    <w:uiPriority w:val="0"/>
    <w:pPr>
      <w:widowControl/>
      <w:spacing w:after="160" w:line="240" w:lineRule="exact"/>
    </w:pPr>
    <w:rPr>
      <w:rFonts w:ascii="Times New Roman" w:hAnsi="Times New Roman" w:eastAsia="宋体" w:cs="Arial"/>
      <w:kern w:val="0"/>
      <w:sz w:val="22"/>
      <w:szCs w:val="20"/>
      <w:lang w:eastAsia="en-US"/>
    </w:rPr>
  </w:style>
  <w:style w:type="character" w:customStyle="1" w:styleId="379">
    <w:name w:val="标题 Char1"/>
    <w:qFormat/>
    <w:uiPriority w:val="10"/>
    <w:rPr>
      <w:rFonts w:ascii="Cambria" w:hAnsi="Cambria" w:eastAsia="宋体" w:cs="黑体"/>
      <w:b/>
      <w:bCs/>
      <w:sz w:val="32"/>
      <w:szCs w:val="32"/>
    </w:rPr>
  </w:style>
  <w:style w:type="character" w:customStyle="1" w:styleId="380">
    <w:name w:val="正文文本缩进 2 Char1"/>
    <w:qFormat/>
    <w:uiPriority w:val="99"/>
    <w:rPr>
      <w:rFonts w:ascii="Tahoma" w:hAnsi="Tahoma"/>
    </w:rPr>
  </w:style>
  <w:style w:type="character" w:customStyle="1" w:styleId="381">
    <w:name w:val="正文文本缩进 Char1"/>
    <w:qFormat/>
    <w:uiPriority w:val="99"/>
    <w:rPr>
      <w:rFonts w:ascii="Tahoma" w:hAnsi="Tahoma"/>
    </w:rPr>
  </w:style>
  <w:style w:type="character" w:customStyle="1" w:styleId="382">
    <w:name w:val="正文文本 3 Char2"/>
    <w:qFormat/>
    <w:uiPriority w:val="99"/>
    <w:rPr>
      <w:rFonts w:ascii="Tahoma" w:hAnsi="Tahoma"/>
      <w:sz w:val="16"/>
      <w:szCs w:val="16"/>
    </w:rPr>
  </w:style>
  <w:style w:type="character" w:customStyle="1" w:styleId="383">
    <w:name w:val="批注框文本 Char1"/>
    <w:qFormat/>
    <w:uiPriority w:val="0"/>
    <w:rPr>
      <w:rFonts w:ascii="Tahoma" w:hAnsi="Tahoma"/>
      <w:sz w:val="18"/>
      <w:szCs w:val="18"/>
    </w:rPr>
  </w:style>
  <w:style w:type="character" w:customStyle="1" w:styleId="384">
    <w:name w:val="批注文字 Char2"/>
    <w:qFormat/>
    <w:uiPriority w:val="99"/>
    <w:rPr>
      <w:rFonts w:ascii="Tahoma" w:hAnsi="Tahoma"/>
    </w:rPr>
  </w:style>
  <w:style w:type="character" w:customStyle="1" w:styleId="385">
    <w:name w:val="批注主题 Char2"/>
    <w:qFormat/>
    <w:uiPriority w:val="99"/>
    <w:rPr>
      <w:rFonts w:ascii="Tahoma" w:hAnsi="Tahoma"/>
      <w:b/>
      <w:bCs/>
    </w:rPr>
  </w:style>
  <w:style w:type="character" w:customStyle="1" w:styleId="386">
    <w:name w:val="正文文本缩进 3 Char1"/>
    <w:qFormat/>
    <w:uiPriority w:val="99"/>
    <w:rPr>
      <w:rFonts w:ascii="Tahoma" w:hAnsi="Tahoma"/>
      <w:sz w:val="16"/>
      <w:szCs w:val="16"/>
    </w:rPr>
  </w:style>
  <w:style w:type="character" w:customStyle="1" w:styleId="387">
    <w:name w:val="称呼 Char2"/>
    <w:qFormat/>
    <w:uiPriority w:val="99"/>
    <w:rPr>
      <w:rFonts w:ascii="Tahoma" w:hAnsi="Tahoma"/>
    </w:rPr>
  </w:style>
  <w:style w:type="character" w:customStyle="1" w:styleId="388">
    <w:name w:val="文档结构图 Char1"/>
    <w:qFormat/>
    <w:uiPriority w:val="0"/>
    <w:rPr>
      <w:rFonts w:ascii="宋体" w:hAnsi="Tahoma" w:eastAsia="宋体"/>
      <w:sz w:val="18"/>
      <w:szCs w:val="18"/>
    </w:rPr>
  </w:style>
  <w:style w:type="character" w:customStyle="1" w:styleId="389">
    <w:name w:val="日期 Char1"/>
    <w:qFormat/>
    <w:uiPriority w:val="0"/>
    <w:rPr>
      <w:rFonts w:ascii="Tahoma" w:hAnsi="Tahoma"/>
    </w:rPr>
  </w:style>
  <w:style w:type="character" w:customStyle="1" w:styleId="390">
    <w:name w:val="正文文本 Char1"/>
    <w:qFormat/>
    <w:uiPriority w:val="0"/>
    <w:rPr>
      <w:rFonts w:ascii="Tahoma" w:hAnsi="Tahoma"/>
    </w:rPr>
  </w:style>
  <w:style w:type="character" w:customStyle="1" w:styleId="391">
    <w:name w:val="正文文本 2 Char1"/>
    <w:qFormat/>
    <w:uiPriority w:val="99"/>
    <w:rPr>
      <w:rFonts w:ascii="Tahoma" w:hAnsi="Tahoma"/>
    </w:rPr>
  </w:style>
  <w:style w:type="character" w:customStyle="1" w:styleId="392">
    <w:name w:val="副标题 Char2"/>
    <w:qFormat/>
    <w:uiPriority w:val="11"/>
    <w:rPr>
      <w:rFonts w:ascii="Cambria" w:hAnsi="Cambria" w:eastAsia="宋体" w:cs="黑体"/>
      <w:b/>
      <w:bCs/>
      <w:kern w:val="28"/>
      <w:sz w:val="32"/>
      <w:szCs w:val="32"/>
    </w:rPr>
  </w:style>
  <w:style w:type="character" w:customStyle="1" w:styleId="393">
    <w:name w:val="注释标题 Char2"/>
    <w:qFormat/>
    <w:uiPriority w:val="99"/>
    <w:rPr>
      <w:rFonts w:ascii="Tahoma" w:hAnsi="Tahoma"/>
    </w:rPr>
  </w:style>
  <w:style w:type="character" w:customStyle="1" w:styleId="394">
    <w:name w:val="明显引用 字符"/>
    <w:link w:val="395"/>
    <w:qFormat/>
    <w:uiPriority w:val="0"/>
    <w:rPr>
      <w:b/>
      <w:bCs/>
      <w:i/>
      <w:iCs/>
      <w:color w:val="4F81BD"/>
    </w:rPr>
  </w:style>
  <w:style w:type="paragraph" w:customStyle="1" w:styleId="395">
    <w:name w:val="明显引用1"/>
    <w:basedOn w:val="1"/>
    <w:next w:val="1"/>
    <w:link w:val="394"/>
    <w:qFormat/>
    <w:uiPriority w:val="0"/>
    <w:pPr>
      <w:pBdr>
        <w:bottom w:val="single" w:color="4F81BD" w:sz="4" w:space="4"/>
      </w:pBdr>
      <w:spacing w:before="200" w:after="280"/>
      <w:ind w:left="936" w:right="936"/>
    </w:pPr>
    <w:rPr>
      <w:b/>
      <w:bCs/>
      <w:i/>
      <w:iCs/>
      <w:color w:val="4F81BD"/>
    </w:rPr>
  </w:style>
  <w:style w:type="character" w:customStyle="1" w:styleId="396">
    <w:name w:val="明显引用 字符1"/>
    <w:basedOn w:val="60"/>
    <w:qFormat/>
    <w:uiPriority w:val="30"/>
    <w:rPr>
      <w:i/>
      <w:iCs/>
      <w:color w:val="4472C4" w:themeColor="accent1"/>
      <w14:textFill>
        <w14:solidFill>
          <w14:schemeClr w14:val="accent1"/>
        </w14:solidFill>
      </w14:textFill>
    </w:rPr>
  </w:style>
  <w:style w:type="character" w:customStyle="1" w:styleId="397">
    <w:name w:val="不明显强调1"/>
    <w:qFormat/>
    <w:uiPriority w:val="0"/>
    <w:rPr>
      <w:i/>
      <w:iCs/>
      <w:color w:val="808080"/>
    </w:rPr>
  </w:style>
  <w:style w:type="character" w:customStyle="1" w:styleId="398">
    <w:name w:val="标题4 Char Char"/>
    <w:link w:val="399"/>
    <w:qFormat/>
    <w:uiPriority w:val="0"/>
    <w:rPr>
      <w:rFonts w:ascii="Arial" w:hAnsi="Arial"/>
      <w:b/>
      <w:bCs/>
      <w:sz w:val="24"/>
      <w:szCs w:val="32"/>
    </w:rPr>
  </w:style>
  <w:style w:type="paragraph" w:customStyle="1" w:styleId="399">
    <w:name w:val="标题4"/>
    <w:basedOn w:val="3"/>
    <w:next w:val="25"/>
    <w:link w:val="398"/>
    <w:qFormat/>
    <w:uiPriority w:val="0"/>
    <w:pPr>
      <w:spacing w:line="413" w:lineRule="auto"/>
    </w:pPr>
    <w:rPr>
      <w:rFonts w:ascii="Arial" w:hAnsi="Arial" w:eastAsiaTheme="minorEastAsia" w:cstheme="minorBidi"/>
      <w:sz w:val="24"/>
    </w:rPr>
  </w:style>
  <w:style w:type="character" w:customStyle="1" w:styleId="400">
    <w:name w:val="标题5 Char Char"/>
    <w:link w:val="401"/>
    <w:qFormat/>
    <w:uiPriority w:val="0"/>
    <w:rPr>
      <w:rFonts w:ascii="Arial" w:hAnsi="Arial"/>
      <w:b/>
      <w:bCs/>
      <w:sz w:val="24"/>
      <w:szCs w:val="32"/>
    </w:rPr>
  </w:style>
  <w:style w:type="paragraph" w:customStyle="1" w:styleId="401">
    <w:name w:val="标题5"/>
    <w:basedOn w:val="4"/>
    <w:link w:val="400"/>
    <w:qFormat/>
    <w:uiPriority w:val="0"/>
    <w:pPr>
      <w:keepNext/>
      <w:keepLines/>
      <w:adjustRightInd/>
      <w:spacing w:before="260" w:after="260" w:line="413" w:lineRule="auto"/>
      <w:ind w:firstLine="0"/>
      <w:textAlignment w:val="auto"/>
    </w:pPr>
    <w:rPr>
      <w:rFonts w:ascii="Arial" w:hAnsi="Arial" w:eastAsiaTheme="minorEastAsia" w:cstheme="minorBidi"/>
      <w:b/>
      <w:bCs/>
      <w:spacing w:val="0"/>
      <w:kern w:val="2"/>
      <w:sz w:val="24"/>
      <w:szCs w:val="32"/>
    </w:rPr>
  </w:style>
  <w:style w:type="character" w:customStyle="1" w:styleId="402">
    <w:name w:val="明显参考1"/>
    <w:qFormat/>
    <w:uiPriority w:val="0"/>
    <w:rPr>
      <w:b/>
      <w:bCs/>
      <w:smallCaps/>
      <w:color w:val="C0504D"/>
      <w:spacing w:val="5"/>
      <w:u w:val="single"/>
    </w:rPr>
  </w:style>
  <w:style w:type="character" w:customStyle="1" w:styleId="403">
    <w:name w:val="书籍标题1"/>
    <w:qFormat/>
    <w:uiPriority w:val="0"/>
    <w:rPr>
      <w:b/>
      <w:bCs/>
      <w:smallCaps/>
      <w:spacing w:val="5"/>
    </w:rPr>
  </w:style>
  <w:style w:type="character" w:customStyle="1" w:styleId="404">
    <w:name w:val="引用 字符"/>
    <w:link w:val="405"/>
    <w:qFormat/>
    <w:uiPriority w:val="0"/>
    <w:rPr>
      <w:i/>
      <w:iCs/>
      <w:color w:val="000000"/>
    </w:rPr>
  </w:style>
  <w:style w:type="paragraph" w:customStyle="1" w:styleId="405">
    <w:name w:val="引用1"/>
    <w:basedOn w:val="1"/>
    <w:next w:val="1"/>
    <w:link w:val="404"/>
    <w:qFormat/>
    <w:uiPriority w:val="0"/>
    <w:rPr>
      <w:i/>
      <w:iCs/>
      <w:color w:val="000000"/>
    </w:rPr>
  </w:style>
  <w:style w:type="character" w:customStyle="1" w:styleId="406">
    <w:name w:val="引用 字符1"/>
    <w:basedOn w:val="60"/>
    <w:qFormat/>
    <w:uiPriority w:val="29"/>
    <w:rPr>
      <w:i/>
      <w:iCs/>
      <w:color w:val="404040" w:themeColor="text1" w:themeTint="BF"/>
      <w14:textFill>
        <w14:solidFill>
          <w14:schemeClr w14:val="tx1">
            <w14:lumMod w14:val="75000"/>
            <w14:lumOff w14:val="25000"/>
          </w14:schemeClr>
        </w14:solidFill>
      </w14:textFill>
    </w:rPr>
  </w:style>
  <w:style w:type="character" w:customStyle="1" w:styleId="407">
    <w:name w:val="明显强调1"/>
    <w:qFormat/>
    <w:uiPriority w:val="0"/>
    <w:rPr>
      <w:b/>
      <w:bCs/>
      <w:i/>
      <w:iCs/>
      <w:color w:val="4F81BD"/>
    </w:rPr>
  </w:style>
  <w:style w:type="character" w:customStyle="1" w:styleId="408">
    <w:name w:val="textcontents"/>
    <w:qFormat/>
    <w:uiPriority w:val="0"/>
    <w:rPr>
      <w:rFonts w:cs="Times New Roman"/>
    </w:rPr>
  </w:style>
  <w:style w:type="character" w:customStyle="1" w:styleId="409">
    <w:name w:val="不明显参考1"/>
    <w:qFormat/>
    <w:uiPriority w:val="0"/>
    <w:rPr>
      <w:smallCaps/>
      <w:color w:val="C0504D"/>
      <w:u w:val="single"/>
    </w:rPr>
  </w:style>
  <w:style w:type="character" w:customStyle="1" w:styleId="410">
    <w:name w:val="批注文字 Char Char"/>
    <w:qFormat/>
    <w:uiPriority w:val="0"/>
    <w:rPr>
      <w:rFonts w:ascii="宋体" w:hAnsi="Times New Roman" w:eastAsia="宋体" w:cs="Times New Roman"/>
      <w:sz w:val="28"/>
      <w:szCs w:val="20"/>
    </w:rPr>
  </w:style>
  <w:style w:type="character" w:customStyle="1" w:styleId="411">
    <w:name w:val="明显引用 Char1"/>
    <w:basedOn w:val="60"/>
    <w:qFormat/>
    <w:uiPriority w:val="99"/>
    <w:rPr>
      <w:b/>
      <w:bCs/>
      <w:i/>
      <w:iCs/>
      <w:color w:val="4F81BD"/>
    </w:rPr>
  </w:style>
  <w:style w:type="paragraph" w:customStyle="1" w:styleId="412">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customStyle="1" w:styleId="413">
    <w:name w:val="无间隔2"/>
    <w:qFormat/>
    <w:uiPriority w:val="0"/>
    <w:pPr>
      <w:widowControl w:val="0"/>
      <w:jc w:val="both"/>
    </w:pPr>
    <w:rPr>
      <w:rFonts w:ascii="Calibri" w:hAnsi="Calibri" w:eastAsia="宋体" w:cs="Times New Roman"/>
      <w:kern w:val="2"/>
      <w:sz w:val="21"/>
      <w:szCs w:val="22"/>
      <w:lang w:val="en-US" w:eastAsia="zh-CN" w:bidi="ar-SA"/>
    </w:rPr>
  </w:style>
  <w:style w:type="character" w:customStyle="1" w:styleId="414">
    <w:name w:val="引用 Char1"/>
    <w:basedOn w:val="60"/>
    <w:qFormat/>
    <w:uiPriority w:val="99"/>
    <w:rPr>
      <w:i/>
      <w:iCs/>
      <w:color w:val="000000"/>
    </w:rPr>
  </w:style>
  <w:style w:type="paragraph" w:customStyle="1" w:styleId="415">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416">
    <w:name w:val="Heading #2|1"/>
    <w:basedOn w:val="1"/>
    <w:qFormat/>
    <w:uiPriority w:val="0"/>
    <w:pPr>
      <w:spacing w:after="2740" w:line="547" w:lineRule="exact"/>
      <w:jc w:val="center"/>
      <w:outlineLvl w:val="1"/>
    </w:pPr>
    <w:rPr>
      <w:rFonts w:ascii="宋体" w:hAnsi="宋体" w:eastAsia="宋体" w:cs="宋体"/>
      <w:color w:val="3024CF"/>
      <w:sz w:val="42"/>
      <w:szCs w:val="42"/>
      <w:lang w:val="zh-TW" w:eastAsia="zh-TW" w:bidi="zh-TW"/>
    </w:rPr>
  </w:style>
  <w:style w:type="paragraph" w:customStyle="1" w:styleId="417">
    <w:name w:val="TOC 标题21"/>
    <w:basedOn w:val="2"/>
    <w:next w:val="1"/>
    <w:unhideWhenUsed/>
    <w:qFormat/>
    <w:uiPriority w:val="0"/>
    <w:pPr>
      <w:pageBreakBefore w:val="0"/>
      <w:widowControl/>
      <w:adjustRightInd/>
      <w:snapToGrid/>
      <w:spacing w:line="578" w:lineRule="auto"/>
      <w:jc w:val="left"/>
      <w:outlineLvl w:val="9"/>
    </w:pPr>
    <w:rPr>
      <w:rFonts w:ascii="Times New Roman" w:hAnsi="Times New Roman" w:eastAsia="宋体" w:cs="Times New Roman"/>
      <w:b/>
      <w:bCs/>
      <w:kern w:val="44"/>
      <w:sz w:val="44"/>
      <w:szCs w:val="44"/>
    </w:rPr>
  </w:style>
  <w:style w:type="table" w:customStyle="1" w:styleId="418">
    <w:name w:val="Table Normal3"/>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419">
    <w:name w:val="标题 111"/>
    <w:basedOn w:val="1"/>
    <w:qFormat/>
    <w:uiPriority w:val="0"/>
    <w:pPr>
      <w:autoSpaceDE w:val="0"/>
      <w:autoSpaceDN w:val="0"/>
      <w:spacing w:line="572" w:lineRule="exact"/>
      <w:ind w:left="2883" w:right="3180"/>
      <w:jc w:val="center"/>
      <w:outlineLvl w:val="1"/>
    </w:pPr>
    <w:rPr>
      <w:rFonts w:ascii="微软雅黑" w:hAnsi="微软雅黑" w:eastAsia="微软雅黑" w:cs="微软雅黑"/>
      <w:b/>
      <w:bCs/>
      <w:kern w:val="0"/>
      <w:sz w:val="36"/>
      <w:szCs w:val="36"/>
      <w:lang w:val="zh-CN" w:bidi="zh-CN"/>
    </w:rPr>
  </w:style>
  <w:style w:type="character" w:customStyle="1" w:styleId="420">
    <w:name w:val="不明显参考2"/>
    <w:qFormat/>
    <w:uiPriority w:val="0"/>
    <w:rPr>
      <w:smallCaps/>
      <w:color w:val="C0504D"/>
      <w:u w:val="single"/>
    </w:rPr>
  </w:style>
  <w:style w:type="character" w:customStyle="1" w:styleId="421">
    <w:name w:val="正文文本 Char_0"/>
    <w:link w:val="422"/>
    <w:qFormat/>
    <w:uiPriority w:val="0"/>
    <w:rPr>
      <w:szCs w:val="24"/>
    </w:rPr>
  </w:style>
  <w:style w:type="paragraph" w:customStyle="1" w:styleId="422">
    <w:name w:val="正文文本_0"/>
    <w:basedOn w:val="423"/>
    <w:link w:val="421"/>
    <w:qFormat/>
    <w:uiPriority w:val="0"/>
    <w:pPr>
      <w:spacing w:after="120"/>
    </w:pPr>
    <w:rPr>
      <w:rFonts w:asciiTheme="minorHAnsi" w:hAnsiTheme="minorHAnsi" w:eastAsiaTheme="minorEastAsia" w:cstheme="minorBidi"/>
    </w:rPr>
  </w:style>
  <w:style w:type="paragraph" w:customStyle="1" w:styleId="42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4">
    <w:name w:val="引用 Char2"/>
    <w:qFormat/>
    <w:uiPriority w:val="29"/>
    <w:rPr>
      <w:i/>
      <w:iCs/>
      <w:color w:val="000000"/>
      <w:kern w:val="2"/>
      <w:sz w:val="21"/>
    </w:rPr>
  </w:style>
  <w:style w:type="character" w:customStyle="1" w:styleId="425">
    <w:name w:val="批注框文本 Char2"/>
    <w:qFormat/>
    <w:uiPriority w:val="99"/>
    <w:rPr>
      <w:rFonts w:ascii="Calibri" w:hAnsi="Calibri" w:eastAsia="宋体" w:cs="Times New Roman"/>
      <w:sz w:val="18"/>
      <w:szCs w:val="18"/>
    </w:rPr>
  </w:style>
  <w:style w:type="character" w:customStyle="1" w:styleId="426">
    <w:name w:val="标题 4 Char_0"/>
    <w:link w:val="427"/>
    <w:qFormat/>
    <w:uiPriority w:val="0"/>
    <w:rPr>
      <w:rFonts w:ascii="Arial" w:hAnsi="Arial" w:eastAsia="黑体"/>
      <w:b/>
      <w:bCs/>
      <w:sz w:val="28"/>
      <w:szCs w:val="28"/>
    </w:rPr>
  </w:style>
  <w:style w:type="paragraph" w:customStyle="1" w:styleId="427">
    <w:name w:val="标题 4_0"/>
    <w:basedOn w:val="423"/>
    <w:next w:val="423"/>
    <w:link w:val="426"/>
    <w:qFormat/>
    <w:uiPriority w:val="0"/>
    <w:pPr>
      <w:keepNext/>
      <w:keepLines/>
      <w:spacing w:before="280" w:after="290" w:line="376" w:lineRule="auto"/>
      <w:outlineLvl w:val="3"/>
    </w:pPr>
    <w:rPr>
      <w:rFonts w:ascii="Arial" w:hAnsi="Arial" w:eastAsia="黑体" w:cstheme="minorBidi"/>
      <w:b/>
      <w:bCs/>
      <w:sz w:val="28"/>
      <w:szCs w:val="28"/>
    </w:rPr>
  </w:style>
  <w:style w:type="character" w:customStyle="1" w:styleId="428">
    <w:name w:val="正文缩进 字符"/>
    <w:link w:val="8"/>
    <w:qFormat/>
    <w:locked/>
    <w:uiPriority w:val="0"/>
    <w:rPr>
      <w:rFonts w:ascii="Times New Roman" w:hAnsi="Times New Roman" w:eastAsia="宋体" w:cs="Times New Roman"/>
      <w:szCs w:val="20"/>
    </w:rPr>
  </w:style>
  <w:style w:type="character" w:customStyle="1" w:styleId="429">
    <w:name w:val="标题 3 Char_0"/>
    <w:link w:val="430"/>
    <w:qFormat/>
    <w:uiPriority w:val="0"/>
    <w:rPr>
      <w:b/>
      <w:bCs/>
      <w:sz w:val="32"/>
      <w:szCs w:val="32"/>
    </w:rPr>
  </w:style>
  <w:style w:type="paragraph" w:customStyle="1" w:styleId="430">
    <w:name w:val="标题 3_0"/>
    <w:basedOn w:val="423"/>
    <w:next w:val="423"/>
    <w:link w:val="429"/>
    <w:qFormat/>
    <w:uiPriority w:val="0"/>
    <w:pPr>
      <w:keepNext/>
      <w:keepLines/>
      <w:spacing w:before="260" w:after="260" w:line="416" w:lineRule="auto"/>
      <w:outlineLvl w:val="2"/>
    </w:pPr>
    <w:rPr>
      <w:rFonts w:asciiTheme="minorHAnsi" w:hAnsiTheme="minorHAnsi" w:eastAsiaTheme="minorEastAsia" w:cstheme="minorBidi"/>
      <w:b/>
      <w:bCs/>
      <w:sz w:val="32"/>
      <w:szCs w:val="32"/>
    </w:rPr>
  </w:style>
  <w:style w:type="character" w:customStyle="1" w:styleId="431">
    <w:name w:val="para_small"/>
    <w:qFormat/>
    <w:uiPriority w:val="99"/>
    <w:rPr>
      <w:rFonts w:cs="Times New Roman"/>
    </w:rPr>
  </w:style>
  <w:style w:type="character" w:customStyle="1" w:styleId="432">
    <w:name w:val="页眉 Char1"/>
    <w:qFormat/>
    <w:uiPriority w:val="99"/>
    <w:rPr>
      <w:rFonts w:ascii="Calibri" w:hAnsi="Calibri" w:eastAsia="宋体" w:cs="Times New Roman"/>
      <w:sz w:val="18"/>
      <w:szCs w:val="18"/>
    </w:rPr>
  </w:style>
  <w:style w:type="character" w:customStyle="1" w:styleId="433">
    <w:name w:val="标题 1 Char_0"/>
    <w:link w:val="434"/>
    <w:qFormat/>
    <w:uiPriority w:val="0"/>
    <w:rPr>
      <w:b/>
      <w:bCs/>
      <w:kern w:val="44"/>
      <w:sz w:val="44"/>
      <w:szCs w:val="44"/>
    </w:rPr>
  </w:style>
  <w:style w:type="paragraph" w:customStyle="1" w:styleId="434">
    <w:name w:val="标题 1_0"/>
    <w:basedOn w:val="423"/>
    <w:next w:val="423"/>
    <w:link w:val="433"/>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customStyle="1" w:styleId="435">
    <w:name w:val="16"/>
    <w:qFormat/>
    <w:uiPriority w:val="0"/>
    <w:rPr>
      <w:rFonts w:hint="default" w:ascii="Cambria" w:hAnsi="Cambria"/>
      <w:b/>
      <w:bCs/>
      <w:sz w:val="32"/>
      <w:szCs w:val="32"/>
    </w:rPr>
  </w:style>
  <w:style w:type="character" w:customStyle="1" w:styleId="436">
    <w:name w:val="日期 Char2"/>
    <w:qFormat/>
    <w:uiPriority w:val="99"/>
    <w:rPr>
      <w:rFonts w:ascii="Calibri" w:hAnsi="Calibri" w:eastAsia="宋体" w:cs="Times New Roman"/>
    </w:rPr>
  </w:style>
  <w:style w:type="character" w:customStyle="1" w:styleId="437">
    <w:name w:val="point_normal1"/>
    <w:qFormat/>
    <w:uiPriority w:val="99"/>
    <w:rPr>
      <w:rFonts w:ascii="Arial" w:hAnsi="Arial" w:cs="Arial"/>
      <w:sz w:val="18"/>
      <w:szCs w:val="18"/>
    </w:rPr>
  </w:style>
  <w:style w:type="character" w:customStyle="1" w:styleId="438">
    <w:name w:val="标题 2 Char_0"/>
    <w:link w:val="439"/>
    <w:qFormat/>
    <w:uiPriority w:val="0"/>
    <w:rPr>
      <w:rFonts w:ascii="Cambria" w:hAnsi="Cambria"/>
      <w:b/>
      <w:bCs/>
      <w:sz w:val="32"/>
      <w:szCs w:val="32"/>
    </w:rPr>
  </w:style>
  <w:style w:type="paragraph" w:customStyle="1" w:styleId="439">
    <w:name w:val="标题 2_0"/>
    <w:basedOn w:val="423"/>
    <w:next w:val="423"/>
    <w:link w:val="438"/>
    <w:unhideWhenUsed/>
    <w:qFormat/>
    <w:uiPriority w:val="0"/>
    <w:pPr>
      <w:keepNext/>
      <w:keepLines/>
      <w:spacing w:before="260" w:after="260" w:line="416" w:lineRule="auto"/>
      <w:outlineLvl w:val="1"/>
    </w:pPr>
    <w:rPr>
      <w:rFonts w:ascii="Cambria" w:hAnsi="Cambria" w:eastAsiaTheme="minorEastAsia" w:cstheme="minorBidi"/>
      <w:b/>
      <w:bCs/>
      <w:sz w:val="32"/>
      <w:szCs w:val="32"/>
    </w:rPr>
  </w:style>
  <w:style w:type="character" w:customStyle="1" w:styleId="440">
    <w:name w:val="标题 5 Char_0"/>
    <w:link w:val="441"/>
    <w:qFormat/>
    <w:uiPriority w:val="0"/>
    <w:rPr>
      <w:rFonts w:ascii="Calibri" w:hAnsi="Calibri"/>
      <w:b/>
      <w:bCs/>
      <w:sz w:val="28"/>
      <w:szCs w:val="28"/>
    </w:rPr>
  </w:style>
  <w:style w:type="paragraph" w:customStyle="1" w:styleId="441">
    <w:name w:val="标题 5_0"/>
    <w:basedOn w:val="423"/>
    <w:next w:val="423"/>
    <w:link w:val="440"/>
    <w:qFormat/>
    <w:uiPriority w:val="0"/>
    <w:pPr>
      <w:keepNext/>
      <w:keepLines/>
      <w:spacing w:before="280" w:after="290" w:line="372" w:lineRule="auto"/>
      <w:outlineLvl w:val="4"/>
    </w:pPr>
    <w:rPr>
      <w:rFonts w:ascii="Calibri" w:hAnsi="Calibri" w:eastAsiaTheme="minorEastAsia" w:cstheme="minorBidi"/>
      <w:b/>
      <w:bCs/>
      <w:sz w:val="28"/>
      <w:szCs w:val="28"/>
    </w:rPr>
  </w:style>
  <w:style w:type="character" w:customStyle="1" w:styleId="442">
    <w:name w:val="不明显强调2"/>
    <w:qFormat/>
    <w:uiPriority w:val="0"/>
    <w:rPr>
      <w:i/>
      <w:iCs/>
      <w:color w:val="808080"/>
    </w:rPr>
  </w:style>
  <w:style w:type="character" w:customStyle="1" w:styleId="443">
    <w:name w:val="明显强调2"/>
    <w:qFormat/>
    <w:uiPriority w:val="0"/>
    <w:rPr>
      <w:b/>
      <w:bCs/>
      <w:i/>
      <w:iCs/>
      <w:color w:val="4F81BD"/>
    </w:rPr>
  </w:style>
  <w:style w:type="character" w:customStyle="1" w:styleId="444">
    <w:name w:val="页眉 Char2"/>
    <w:qFormat/>
    <w:locked/>
    <w:uiPriority w:val="0"/>
    <w:rPr>
      <w:rFonts w:eastAsia="宋体" w:cs="Times New Roman"/>
      <w:kern w:val="2"/>
      <w:sz w:val="18"/>
      <w:lang w:val="en-US" w:eastAsia="zh-CN" w:bidi="ar-SA"/>
    </w:rPr>
  </w:style>
  <w:style w:type="character" w:customStyle="1" w:styleId="445">
    <w:name w:val="文档结构图 Char2"/>
    <w:qFormat/>
    <w:uiPriority w:val="99"/>
    <w:rPr>
      <w:rFonts w:ascii="宋体" w:hAnsi="Calibri" w:eastAsia="宋体" w:cs="Times New Roman"/>
      <w:sz w:val="18"/>
      <w:szCs w:val="18"/>
    </w:rPr>
  </w:style>
  <w:style w:type="character" w:customStyle="1" w:styleId="446">
    <w:name w:val="书籍标题2"/>
    <w:qFormat/>
    <w:uiPriority w:val="0"/>
    <w:rPr>
      <w:b/>
      <w:bCs/>
      <w:smallCaps/>
      <w:spacing w:val="5"/>
    </w:rPr>
  </w:style>
  <w:style w:type="character" w:customStyle="1" w:styleId="447">
    <w:name w:val="bookmark"/>
    <w:qFormat/>
    <w:uiPriority w:val="0"/>
  </w:style>
  <w:style w:type="character" w:customStyle="1" w:styleId="448">
    <w:name w:val="页脚 Char2"/>
    <w:qFormat/>
    <w:locked/>
    <w:uiPriority w:val="99"/>
    <w:rPr>
      <w:rFonts w:eastAsia="宋体" w:cs="Times New Roman"/>
      <w:kern w:val="2"/>
      <w:sz w:val="18"/>
      <w:lang w:val="en-US" w:eastAsia="zh-CN" w:bidi="ar-SA"/>
    </w:rPr>
  </w:style>
  <w:style w:type="character" w:customStyle="1" w:styleId="449">
    <w:name w:val="明显参考2"/>
    <w:qFormat/>
    <w:uiPriority w:val="0"/>
    <w:rPr>
      <w:b/>
      <w:bCs/>
      <w:smallCaps/>
      <w:color w:val="C0504D"/>
      <w:spacing w:val="5"/>
      <w:u w:val="single"/>
    </w:rPr>
  </w:style>
  <w:style w:type="character" w:customStyle="1" w:styleId="450">
    <w:name w:val="明显引用 Char2"/>
    <w:qFormat/>
    <w:uiPriority w:val="30"/>
    <w:rPr>
      <w:b/>
      <w:bCs/>
      <w:i/>
      <w:iCs/>
      <w:color w:val="4F81BD"/>
      <w:kern w:val="2"/>
      <w:sz w:val="21"/>
    </w:rPr>
  </w:style>
  <w:style w:type="character" w:customStyle="1" w:styleId="451">
    <w:name w:val="标题 Char2"/>
    <w:qFormat/>
    <w:uiPriority w:val="0"/>
    <w:rPr>
      <w:rFonts w:ascii="Cambria" w:hAnsi="Cambria" w:cs="Times New Roman"/>
      <w:b/>
      <w:bCs/>
      <w:sz w:val="32"/>
      <w:szCs w:val="32"/>
    </w:rPr>
  </w:style>
  <w:style w:type="character" w:customStyle="1" w:styleId="452">
    <w:name w:val="正文文本 Char2"/>
    <w:qFormat/>
    <w:uiPriority w:val="99"/>
    <w:rPr>
      <w:rFonts w:ascii="Calibri" w:hAnsi="Calibri" w:eastAsia="宋体" w:cs="Times New Roman"/>
    </w:rPr>
  </w:style>
  <w:style w:type="character" w:customStyle="1" w:styleId="453">
    <w:name w:val="超链接_0"/>
    <w:qFormat/>
    <w:uiPriority w:val="99"/>
    <w:rPr>
      <w:rFonts w:ascii="Calibri" w:hAnsi="Calibri"/>
      <w:color w:val="0000FF"/>
      <w:u w:val="single"/>
    </w:rPr>
  </w:style>
  <w:style w:type="character" w:customStyle="1" w:styleId="454">
    <w:name w:val="二级目录 Char"/>
    <w:link w:val="455"/>
    <w:qFormat/>
    <w:uiPriority w:val="99"/>
    <w:rPr>
      <w:b/>
      <w:sz w:val="30"/>
      <w:szCs w:val="28"/>
      <w:lang w:eastAsia="en-US"/>
    </w:rPr>
  </w:style>
  <w:style w:type="paragraph" w:customStyle="1" w:styleId="455">
    <w:name w:val="二级目录"/>
    <w:next w:val="1"/>
    <w:link w:val="454"/>
    <w:qFormat/>
    <w:uiPriority w:val="99"/>
    <w:pPr>
      <w:tabs>
        <w:tab w:val="left" w:pos="720"/>
      </w:tabs>
      <w:ind w:left="567" w:hanging="567"/>
      <w:outlineLvl w:val="1"/>
    </w:pPr>
    <w:rPr>
      <w:rFonts w:asciiTheme="minorHAnsi" w:hAnsiTheme="minorHAnsi" w:eastAsiaTheme="minorEastAsia" w:cstheme="minorBidi"/>
      <w:b/>
      <w:kern w:val="2"/>
      <w:sz w:val="30"/>
      <w:szCs w:val="28"/>
      <w:lang w:val="en-US" w:eastAsia="en-US" w:bidi="ar-SA"/>
    </w:rPr>
  </w:style>
  <w:style w:type="character" w:customStyle="1" w:styleId="456">
    <w:name w:val="页脚 Char1"/>
    <w:qFormat/>
    <w:uiPriority w:val="99"/>
    <w:rPr>
      <w:rFonts w:ascii="Calibri" w:hAnsi="Calibri" w:eastAsia="宋体" w:cs="Times New Roman"/>
      <w:sz w:val="18"/>
      <w:szCs w:val="18"/>
    </w:rPr>
  </w:style>
  <w:style w:type="character" w:customStyle="1" w:styleId="457">
    <w:name w:val="正文2 Char"/>
    <w:link w:val="458"/>
    <w:qFormat/>
    <w:uiPriority w:val="0"/>
    <w:rPr>
      <w:sz w:val="24"/>
    </w:rPr>
  </w:style>
  <w:style w:type="paragraph" w:customStyle="1" w:styleId="458">
    <w:name w:val="正文2"/>
    <w:basedOn w:val="1"/>
    <w:link w:val="457"/>
    <w:qFormat/>
    <w:uiPriority w:val="0"/>
    <w:pPr>
      <w:spacing w:before="156" w:line="360" w:lineRule="auto"/>
      <w:ind w:firstLine="510" w:firstLineChars="200"/>
    </w:pPr>
    <w:rPr>
      <w:sz w:val="24"/>
    </w:rPr>
  </w:style>
  <w:style w:type="character" w:customStyle="1" w:styleId="459">
    <w:name w:val="15"/>
    <w:qFormat/>
    <w:uiPriority w:val="0"/>
    <w:rPr>
      <w:rFonts w:hint="default" w:ascii="Times New Roman" w:hAnsi="Times New Roman" w:cs="Times New Roman"/>
      <w:color w:val="0000FF"/>
      <w:u w:val="single"/>
    </w:rPr>
  </w:style>
  <w:style w:type="character" w:customStyle="1" w:styleId="460">
    <w:name w:val="副标题 Char3"/>
    <w:basedOn w:val="60"/>
    <w:qFormat/>
    <w:uiPriority w:val="11"/>
    <w:rPr>
      <w:rFonts w:ascii="Cambria" w:hAnsi="Cambria" w:eastAsia="宋体" w:cs="Times New Roman"/>
      <w:b/>
      <w:bCs/>
      <w:kern w:val="28"/>
      <w:sz w:val="32"/>
      <w:szCs w:val="32"/>
      <w:lang w:val="zh-CN" w:bidi="zh-CN"/>
    </w:rPr>
  </w:style>
  <w:style w:type="character" w:customStyle="1" w:styleId="461">
    <w:name w:val="批注框文本 Char3"/>
    <w:basedOn w:val="60"/>
    <w:qFormat/>
    <w:uiPriority w:val="99"/>
    <w:rPr>
      <w:rFonts w:ascii="宋体" w:hAnsi="宋体" w:eastAsia="宋体" w:cs="宋体"/>
      <w:kern w:val="0"/>
      <w:sz w:val="18"/>
      <w:szCs w:val="18"/>
      <w:lang w:val="zh-CN" w:bidi="zh-CN"/>
    </w:rPr>
  </w:style>
  <w:style w:type="character" w:customStyle="1" w:styleId="462">
    <w:name w:val="文档结构图 Char3"/>
    <w:basedOn w:val="60"/>
    <w:qFormat/>
    <w:uiPriority w:val="99"/>
    <w:rPr>
      <w:rFonts w:ascii="宋体" w:hAnsi="宋体" w:eastAsia="宋体" w:cs="宋体"/>
      <w:kern w:val="0"/>
      <w:sz w:val="18"/>
      <w:szCs w:val="18"/>
      <w:lang w:val="zh-CN" w:bidi="zh-CN"/>
    </w:rPr>
  </w:style>
  <w:style w:type="character" w:customStyle="1" w:styleId="463">
    <w:name w:val="标题 Char3"/>
    <w:basedOn w:val="60"/>
    <w:qFormat/>
    <w:uiPriority w:val="10"/>
    <w:rPr>
      <w:rFonts w:ascii="Cambria" w:hAnsi="Cambria" w:eastAsia="宋体" w:cs="Times New Roman"/>
      <w:b/>
      <w:bCs/>
      <w:kern w:val="0"/>
      <w:sz w:val="32"/>
      <w:szCs w:val="32"/>
      <w:lang w:val="zh-CN" w:bidi="zh-CN"/>
    </w:rPr>
  </w:style>
  <w:style w:type="character" w:customStyle="1" w:styleId="464">
    <w:name w:val="HTML 预设格式 Char1"/>
    <w:basedOn w:val="60"/>
    <w:qFormat/>
    <w:uiPriority w:val="99"/>
    <w:rPr>
      <w:rFonts w:ascii="Courier New" w:hAnsi="Courier New" w:cs="Courier New"/>
    </w:rPr>
  </w:style>
  <w:style w:type="character" w:customStyle="1" w:styleId="465">
    <w:name w:val="正文首行缩进 Char1"/>
    <w:basedOn w:val="143"/>
    <w:qFormat/>
    <w:uiPriority w:val="0"/>
    <w:rPr>
      <w:rFonts w:ascii="宋体" w:hAnsi="Times New Roman" w:eastAsia="宋体" w:cs="Times New Roman"/>
      <w:sz w:val="28"/>
      <w:szCs w:val="20"/>
    </w:rPr>
  </w:style>
  <w:style w:type="character" w:customStyle="1" w:styleId="466">
    <w:name w:val="正文文本 Char3"/>
    <w:qFormat/>
    <w:uiPriority w:val="0"/>
    <w:rPr>
      <w:rFonts w:ascii="宋体" w:hAnsi="宋体" w:eastAsia="宋体" w:cs="宋体"/>
      <w:kern w:val="0"/>
      <w:sz w:val="24"/>
      <w:szCs w:val="24"/>
      <w:lang w:val="zh-CN" w:bidi="zh-CN"/>
    </w:rPr>
  </w:style>
  <w:style w:type="character" w:customStyle="1" w:styleId="467">
    <w:name w:val="批注主题 Char3"/>
    <w:basedOn w:val="270"/>
    <w:qFormat/>
    <w:uiPriority w:val="99"/>
    <w:rPr>
      <w:rFonts w:ascii="宋体" w:hAnsi="宋体" w:eastAsia="宋体" w:cs="宋体"/>
      <w:b/>
      <w:bCs/>
      <w:kern w:val="0"/>
      <w:sz w:val="22"/>
      <w:lang w:val="zh-CN" w:bidi="zh-CN"/>
    </w:rPr>
  </w:style>
  <w:style w:type="paragraph" w:customStyle="1" w:styleId="468">
    <w:name w:val="段落"/>
    <w:basedOn w:val="1"/>
    <w:qFormat/>
    <w:uiPriority w:val="99"/>
    <w:pPr>
      <w:spacing w:line="460" w:lineRule="exact"/>
      <w:ind w:firstLine="480"/>
    </w:pPr>
    <w:rPr>
      <w:rFonts w:ascii="Times New Roman" w:hAnsi="Times New Roman" w:eastAsia="宋体" w:cs="Times New Roman"/>
      <w:sz w:val="24"/>
      <w:szCs w:val="20"/>
    </w:rPr>
  </w:style>
  <w:style w:type="paragraph" w:customStyle="1" w:styleId="469">
    <w:name w:val="目录 3_0"/>
    <w:basedOn w:val="423"/>
    <w:next w:val="423"/>
    <w:qFormat/>
    <w:uiPriority w:val="39"/>
    <w:pPr>
      <w:ind w:left="840" w:leftChars="400"/>
    </w:pPr>
    <w:rPr>
      <w:rFonts w:ascii="Calibri" w:hAnsi="Calibri"/>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b/>
      <w:bCs/>
      <w:color w:val="000000"/>
      <w:kern w:val="0"/>
      <w:sz w:val="20"/>
      <w:szCs w:val="20"/>
    </w:rPr>
  </w:style>
  <w:style w:type="paragraph" w:customStyle="1" w:styleId="471">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7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475">
    <w:name w:val="列出段落2"/>
    <w:basedOn w:val="1"/>
    <w:qFormat/>
    <w:uiPriority w:val="34"/>
    <w:pPr>
      <w:ind w:firstLine="420" w:firstLineChars="200"/>
    </w:pPr>
    <w:rPr>
      <w:rFonts w:ascii="Times New Roman" w:hAnsi="Times New Roman" w:eastAsia="宋体" w:cs="Times New Roman"/>
      <w:szCs w:val="20"/>
    </w:rPr>
  </w:style>
  <w:style w:type="paragraph" w:customStyle="1" w:styleId="476">
    <w:name w:val="tableau"/>
    <w:basedOn w:val="1"/>
    <w:qFormat/>
    <w:uiPriority w:val="99"/>
    <w:pPr>
      <w:widowControl/>
      <w:spacing w:before="20" w:after="20"/>
      <w:jc w:val="center"/>
    </w:pPr>
    <w:rPr>
      <w:rFonts w:ascii="Arial" w:hAnsi="Arial" w:eastAsia="宋体" w:cs="Times New Roman"/>
      <w:kern w:val="0"/>
      <w:sz w:val="16"/>
      <w:szCs w:val="20"/>
      <w:lang w:eastAsia="en-US"/>
    </w:rPr>
  </w:style>
  <w:style w:type="paragraph" w:customStyle="1" w:styleId="477">
    <w:name w:val="Bullets L1"/>
    <w:basedOn w:val="1"/>
    <w:qFormat/>
    <w:uiPriority w:val="99"/>
    <w:pPr>
      <w:widowControl/>
      <w:numPr>
        <w:ilvl w:val="0"/>
        <w:numId w:val="2"/>
      </w:numPr>
      <w:spacing w:before="60" w:after="60"/>
      <w:jc w:val="left"/>
    </w:pPr>
    <w:rPr>
      <w:rFonts w:ascii="Arial" w:hAnsi="Arial" w:eastAsia="宋体" w:cs="Times New Roman"/>
      <w:kern w:val="0"/>
      <w:sz w:val="20"/>
      <w:szCs w:val="20"/>
    </w:rPr>
  </w:style>
  <w:style w:type="paragraph" w:customStyle="1" w:styleId="478">
    <w:name w:val="List Paragraph1"/>
    <w:basedOn w:val="1"/>
    <w:qFormat/>
    <w:uiPriority w:val="99"/>
    <w:pPr>
      <w:ind w:firstLine="420" w:firstLineChars="200"/>
    </w:pPr>
    <w:rPr>
      <w:rFonts w:ascii="Times New Roman" w:hAnsi="Times New Roman" w:eastAsia="宋体" w:cs="Times New Roman"/>
      <w:szCs w:val="24"/>
    </w:rPr>
  </w:style>
  <w:style w:type="paragraph" w:customStyle="1" w:styleId="479">
    <w:name w:val="Item Step in Table"/>
    <w:qFormat/>
    <w:uiPriority w:val="99"/>
    <w:pPr>
      <w:numPr>
        <w:ilvl w:val="0"/>
        <w:numId w:val="3"/>
      </w:numPr>
      <w:spacing w:before="40" w:after="40"/>
      <w:jc w:val="both"/>
    </w:pPr>
    <w:rPr>
      <w:rFonts w:ascii="Arial" w:hAnsi="Arial" w:eastAsia="宋体" w:cs="Arial"/>
      <w:sz w:val="18"/>
      <w:szCs w:val="18"/>
      <w:lang w:val="en-US" w:eastAsia="zh-CN" w:bidi="ar-SA"/>
    </w:rPr>
  </w:style>
  <w:style w:type="paragraph" w:customStyle="1" w:styleId="48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81">
    <w:name w:val="丁华标题1"/>
    <w:basedOn w:val="2"/>
    <w:next w:val="482"/>
    <w:qFormat/>
    <w:uiPriority w:val="99"/>
    <w:pPr>
      <w:pageBreakBefore w:val="0"/>
      <w:numPr>
        <w:ilvl w:val="0"/>
        <w:numId w:val="4"/>
      </w:numPr>
      <w:adjustRightInd/>
      <w:snapToGrid/>
      <w:spacing w:before="0" w:after="0" w:afterLines="100" w:line="578" w:lineRule="auto"/>
      <w:ind w:firstLine="0"/>
      <w:jc w:val="left"/>
    </w:pPr>
    <w:rPr>
      <w:rFonts w:ascii="Times New Roman" w:hAnsi="Times New Roman" w:cs="Times New Roman"/>
      <w:kern w:val="44"/>
      <w:lang w:val="zh-CN"/>
    </w:rPr>
  </w:style>
  <w:style w:type="paragraph" w:customStyle="1" w:styleId="482">
    <w:name w:val="丁华正文"/>
    <w:basedOn w:val="44"/>
    <w:qFormat/>
    <w:uiPriority w:val="99"/>
    <w:pPr>
      <w:adjustRightInd w:val="0"/>
      <w:snapToGrid w:val="0"/>
      <w:ind w:right="0" w:firstLine="510"/>
    </w:pPr>
    <w:rPr>
      <w:rFonts w:ascii="Calibri" w:hAnsi="Calibri"/>
      <w:szCs w:val="16"/>
    </w:rPr>
  </w:style>
  <w:style w:type="paragraph" w:customStyle="1" w:styleId="483">
    <w:name w:val="目录 5_0"/>
    <w:basedOn w:val="423"/>
    <w:next w:val="423"/>
    <w:qFormat/>
    <w:uiPriority w:val="39"/>
    <w:pPr>
      <w:ind w:left="1680" w:leftChars="800"/>
    </w:pPr>
    <w:rPr>
      <w:rFonts w:ascii="Calibri" w:hAnsi="Calibri"/>
    </w:rPr>
  </w:style>
  <w:style w:type="paragraph" w:customStyle="1" w:styleId="484">
    <w:name w:val="xl107"/>
    <w:basedOn w:val="1"/>
    <w:qFormat/>
    <w:uiPriority w:val="0"/>
    <w:pPr>
      <w:widowControl/>
      <w:spacing w:before="100" w:beforeAutospacing="1" w:after="100" w:afterAutospacing="1"/>
      <w:jc w:val="left"/>
    </w:pPr>
    <w:rPr>
      <w:rFonts w:ascii="Arial" w:hAnsi="Arial" w:eastAsia="宋体" w:cs="Arial"/>
      <w:kern w:val="0"/>
      <w:sz w:val="20"/>
      <w:szCs w:val="20"/>
    </w:rPr>
  </w:style>
  <w:style w:type="paragraph" w:customStyle="1" w:styleId="485">
    <w:name w:val="正文1"/>
    <w:qFormat/>
    <w:uiPriority w:val="0"/>
    <w:pPr>
      <w:widowControl w:val="0"/>
      <w:jc w:val="both"/>
    </w:pPr>
    <w:rPr>
      <w:rFonts w:ascii="Calibri" w:hAnsi="Calibri" w:eastAsia="宋体" w:cs="Times New Roman"/>
      <w:lang w:val="en-US" w:eastAsia="zh-CN" w:bidi="ar-SA"/>
    </w:rPr>
  </w:style>
  <w:style w:type="paragraph" w:customStyle="1" w:styleId="486">
    <w:name w:val="msolistparagraph"/>
    <w:basedOn w:val="1"/>
    <w:qFormat/>
    <w:uiPriority w:val="99"/>
    <w:pPr>
      <w:ind w:firstLine="420" w:firstLineChars="200"/>
    </w:pPr>
    <w:rPr>
      <w:rFonts w:ascii="Calibri" w:hAnsi="Calibri" w:eastAsia="宋体" w:cs="Times New Roman"/>
    </w:rPr>
  </w:style>
  <w:style w:type="paragraph" w:customStyle="1" w:styleId="487">
    <w:name w:val="丁华标题3"/>
    <w:basedOn w:val="488"/>
    <w:next w:val="482"/>
    <w:qFormat/>
    <w:uiPriority w:val="99"/>
    <w:pPr>
      <w:numPr>
        <w:numId w:val="0"/>
      </w:numPr>
      <w:tabs>
        <w:tab w:val="left" w:pos="567"/>
        <w:tab w:val="left" w:pos="1470"/>
        <w:tab w:val="left" w:pos="1980"/>
      </w:tabs>
      <w:spacing w:after="0"/>
      <w:ind w:left="1980" w:hanging="420"/>
      <w:outlineLvl w:val="2"/>
    </w:pPr>
    <w:rPr>
      <w:sz w:val="24"/>
    </w:rPr>
  </w:style>
  <w:style w:type="paragraph" w:customStyle="1" w:styleId="488">
    <w:name w:val="丁华标题2"/>
    <w:basedOn w:val="3"/>
    <w:next w:val="482"/>
    <w:qFormat/>
    <w:uiPriority w:val="99"/>
    <w:pPr>
      <w:numPr>
        <w:ilvl w:val="1"/>
        <w:numId w:val="4"/>
      </w:numPr>
      <w:tabs>
        <w:tab w:val="left" w:pos="567"/>
        <w:tab w:val="clear" w:pos="1004"/>
      </w:tabs>
      <w:spacing w:before="120" w:after="120" w:line="415" w:lineRule="auto"/>
      <w:ind w:left="2335" w:hanging="601"/>
      <w:jc w:val="left"/>
    </w:pPr>
    <w:rPr>
      <w:rFonts w:ascii="Arial" w:hAnsi="Arial" w:eastAsia="黑体"/>
      <w:b w:val="0"/>
      <w:kern w:val="0"/>
      <w:sz w:val="28"/>
      <w:szCs w:val="20"/>
      <w:lang w:val="zh-CN"/>
    </w:rPr>
  </w:style>
  <w:style w:type="paragraph" w:customStyle="1" w:styleId="48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b/>
      <w:bCs/>
      <w:color w:val="000000"/>
      <w:kern w:val="0"/>
      <w:sz w:val="20"/>
      <w:szCs w:val="20"/>
    </w:rPr>
  </w:style>
  <w:style w:type="paragraph" w:customStyle="1" w:styleId="490">
    <w:name w:val="Char Char Char"/>
    <w:basedOn w:val="18"/>
    <w:qFormat/>
    <w:uiPriority w:val="99"/>
    <w:pPr>
      <w:shd w:val="clear" w:color="auto" w:fill="000080"/>
      <w:spacing w:line="436" w:lineRule="exact"/>
    </w:pPr>
    <w:rPr>
      <w:rFonts w:ascii="Calibri" w:eastAsia="宋体" w:cs="Times New Roman"/>
      <w:sz w:val="2"/>
      <w:szCs w:val="24"/>
    </w:rPr>
  </w:style>
  <w:style w:type="paragraph" w:customStyle="1" w:styleId="491">
    <w:name w:val="p0"/>
    <w:basedOn w:val="1"/>
    <w:qFormat/>
    <w:uiPriority w:val="99"/>
    <w:pPr>
      <w:widowControl/>
    </w:pPr>
    <w:rPr>
      <w:rFonts w:ascii="Times New Roman" w:hAnsi="Times New Roman" w:eastAsia="宋体" w:cs="Times New Roman"/>
      <w:kern w:val="0"/>
      <w:szCs w:val="21"/>
    </w:rPr>
  </w:style>
  <w:style w:type="paragraph" w:customStyle="1" w:styleId="492">
    <w:name w:val="目录 4_0"/>
    <w:basedOn w:val="423"/>
    <w:next w:val="423"/>
    <w:qFormat/>
    <w:uiPriority w:val="39"/>
    <w:pPr>
      <w:ind w:left="1260" w:leftChars="600"/>
    </w:pPr>
    <w:rPr>
      <w:rFonts w:ascii="Calibri" w:hAnsi="Calibri"/>
    </w:rPr>
  </w:style>
  <w:style w:type="character" w:customStyle="1" w:styleId="493">
    <w:name w:val="引用 Char3"/>
    <w:basedOn w:val="60"/>
    <w:qFormat/>
    <w:uiPriority w:val="29"/>
    <w:rPr>
      <w:rFonts w:ascii="宋体" w:hAnsi="宋体" w:eastAsia="宋体" w:cs="宋体"/>
      <w:i/>
      <w:iCs/>
      <w:color w:val="000000"/>
      <w:kern w:val="0"/>
      <w:sz w:val="22"/>
      <w:lang w:val="zh-CN" w:bidi="zh-CN"/>
    </w:rPr>
  </w:style>
  <w:style w:type="paragraph" w:customStyle="1" w:styleId="494">
    <w:name w:val="修订2"/>
    <w:qFormat/>
    <w:uiPriority w:val="0"/>
    <w:rPr>
      <w:rFonts w:ascii="Times New Roman" w:hAnsi="Times New Roman" w:eastAsia="宋体" w:cs="Times New Roman"/>
      <w:kern w:val="2"/>
      <w:sz w:val="21"/>
      <w:szCs w:val="24"/>
      <w:lang w:val="en-US" w:eastAsia="zh-CN" w:bidi="ar-SA"/>
    </w:rPr>
  </w:style>
  <w:style w:type="paragraph" w:customStyle="1" w:styleId="495">
    <w:name w:val="Char Char Char Char Char Char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496">
    <w:name w:val="标题6"/>
    <w:basedOn w:val="6"/>
    <w:link w:val="552"/>
    <w:qFormat/>
    <w:uiPriority w:val="0"/>
    <w:pPr>
      <w:numPr>
        <w:ilvl w:val="0"/>
        <w:numId w:val="5"/>
      </w:numPr>
      <w:autoSpaceDE w:val="0"/>
      <w:autoSpaceDN w:val="0"/>
      <w:spacing w:beforeLines="50" w:afterLines="50" w:line="240" w:lineRule="auto"/>
    </w:pPr>
    <w:rPr>
      <w:b w:val="0"/>
      <w:sz w:val="24"/>
      <w:lang w:val="zh-CN"/>
    </w:rPr>
  </w:style>
  <w:style w:type="paragraph" w:customStyle="1" w:styleId="49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498">
    <w:name w:val="表格1"/>
    <w:basedOn w:val="1"/>
    <w:qFormat/>
    <w:uiPriority w:val="99"/>
    <w:pPr>
      <w:adjustRightInd w:val="0"/>
      <w:textAlignment w:val="baseline"/>
    </w:pPr>
    <w:rPr>
      <w:rFonts w:ascii="宋体" w:hAnsi="Times New Roman" w:eastAsia="宋体" w:cs="Times New Roman"/>
      <w:kern w:val="24"/>
      <w:szCs w:val="21"/>
    </w:rPr>
  </w:style>
  <w:style w:type="paragraph" w:customStyle="1" w:styleId="499">
    <w:name w:val="列出段落3"/>
    <w:basedOn w:val="1"/>
    <w:qFormat/>
    <w:uiPriority w:val="34"/>
    <w:pPr>
      <w:ind w:firstLine="420" w:firstLineChars="200"/>
    </w:pPr>
    <w:rPr>
      <w:rFonts w:ascii="Times New Roman" w:hAnsi="Times New Roman" w:eastAsia="宋体" w:cs="Times New Roman"/>
      <w:szCs w:val="20"/>
    </w:rPr>
  </w:style>
  <w:style w:type="paragraph" w:customStyle="1" w:styleId="500">
    <w:name w:val="Char Char2 Char Char"/>
    <w:basedOn w:val="18"/>
    <w:qFormat/>
    <w:uiPriority w:val="99"/>
    <w:pPr>
      <w:shd w:val="clear" w:color="auto" w:fill="000080"/>
      <w:spacing w:line="436" w:lineRule="exact"/>
    </w:pPr>
    <w:rPr>
      <w:rFonts w:ascii="Tahoma" w:hAnsi="Tahoma" w:eastAsia="宋体" w:cs="Times New Roman"/>
      <w:sz w:val="24"/>
      <w:szCs w:val="22"/>
    </w:rPr>
  </w:style>
  <w:style w:type="paragraph" w:customStyle="1" w:styleId="501">
    <w:name w:val="Char Char Char Char Char Char Char Char Char Char Char1 Char Char Char1"/>
    <w:basedOn w:val="1"/>
    <w:qFormat/>
    <w:uiPriority w:val="99"/>
    <w:pPr>
      <w:ind w:firstLine="200" w:firstLineChars="200"/>
      <w:jc w:val="left"/>
    </w:pPr>
    <w:rPr>
      <w:rFonts w:ascii="Tahoma" w:hAnsi="Tahoma" w:eastAsia="宋体" w:cs="Times New Roman"/>
      <w:sz w:val="24"/>
      <w:szCs w:val="24"/>
    </w:rPr>
  </w:style>
  <w:style w:type="paragraph" w:customStyle="1" w:styleId="502">
    <w:name w:val="retrait3"/>
    <w:basedOn w:val="1"/>
    <w:qFormat/>
    <w:uiPriority w:val="99"/>
    <w:pPr>
      <w:widowControl/>
      <w:spacing w:before="20" w:after="20"/>
      <w:ind w:left="851"/>
      <w:jc w:val="left"/>
    </w:pPr>
    <w:rPr>
      <w:rFonts w:ascii="Arial" w:hAnsi="Arial" w:eastAsia="宋体" w:cs="Times New Roman"/>
      <w:kern w:val="0"/>
      <w:sz w:val="24"/>
      <w:szCs w:val="20"/>
    </w:rPr>
  </w:style>
  <w:style w:type="paragraph" w:customStyle="1" w:styleId="503">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character" w:customStyle="1" w:styleId="504">
    <w:name w:val="明显引用 Char3"/>
    <w:basedOn w:val="60"/>
    <w:qFormat/>
    <w:uiPriority w:val="30"/>
    <w:rPr>
      <w:rFonts w:ascii="宋体" w:hAnsi="宋体" w:eastAsia="宋体" w:cs="宋体"/>
      <w:b/>
      <w:bCs/>
      <w:i/>
      <w:iCs/>
      <w:color w:val="4F81BD"/>
      <w:kern w:val="0"/>
      <w:sz w:val="22"/>
      <w:lang w:val="zh-CN" w:bidi="zh-CN"/>
    </w:rPr>
  </w:style>
  <w:style w:type="paragraph" w:customStyle="1" w:styleId="505">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b/>
      <w:bCs/>
      <w:color w:val="000000"/>
      <w:kern w:val="0"/>
      <w:sz w:val="20"/>
      <w:szCs w:val="20"/>
    </w:rPr>
  </w:style>
  <w:style w:type="paragraph" w:customStyle="1" w:styleId="506">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50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508">
    <w:name w:val="模板正文"/>
    <w:basedOn w:val="1"/>
    <w:qFormat/>
    <w:uiPriority w:val="0"/>
    <w:pPr>
      <w:wordWrap w:val="0"/>
      <w:spacing w:before="120" w:line="360" w:lineRule="auto"/>
      <w:ind w:firstLine="200" w:firstLineChars="200"/>
    </w:pPr>
    <w:rPr>
      <w:rFonts w:ascii="Times New Roman" w:hAnsi="Times New Roman" w:eastAsia="仿宋_GB2312" w:cs="Times New Roman"/>
      <w:sz w:val="24"/>
      <w:szCs w:val="21"/>
    </w:rPr>
  </w:style>
  <w:style w:type="paragraph" w:customStyle="1" w:styleId="509">
    <w:name w:val="Blockquote_0"/>
    <w:basedOn w:val="423"/>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510">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样式 标题 2 + Times New Roman 四号 非加粗 段前: 5 磅 段后: 0 磅 行距: 固定值 20..._0"/>
    <w:basedOn w:val="1"/>
    <w:qFormat/>
    <w:uiPriority w:val="0"/>
    <w:pPr>
      <w:keepNext/>
      <w:keepLines/>
      <w:spacing w:before="100" w:line="360" w:lineRule="auto"/>
      <w:outlineLvl w:val="1"/>
    </w:pPr>
    <w:rPr>
      <w:rFonts w:ascii="Times New Roman" w:hAnsi="Times New Roman" w:eastAsia="Times New Roman" w:cs="宋体"/>
      <w:kern w:val="0"/>
      <w:sz w:val="28"/>
      <w:szCs w:val="20"/>
    </w:rPr>
  </w:style>
  <w:style w:type="paragraph" w:customStyle="1" w:styleId="512">
    <w:name w:val="论文正文"/>
    <w:basedOn w:val="32"/>
    <w:qFormat/>
    <w:uiPriority w:val="99"/>
    <w:pPr>
      <w:spacing w:line="360" w:lineRule="auto"/>
      <w:ind w:firstLine="200" w:firstLineChars="200"/>
      <w:jc w:val="left"/>
    </w:pPr>
    <w:rPr>
      <w:rFonts w:ascii="Calibri" w:hAnsi="Calibri"/>
      <w:sz w:val="28"/>
      <w:szCs w:val="24"/>
    </w:rPr>
  </w:style>
  <w:style w:type="paragraph" w:customStyle="1" w:styleId="513">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color w:val="000000"/>
      <w:kern w:val="0"/>
      <w:sz w:val="20"/>
      <w:szCs w:val="20"/>
    </w:rPr>
  </w:style>
  <w:style w:type="paragraph" w:customStyle="1" w:styleId="514">
    <w:name w:val="pbj1"/>
    <w:basedOn w:val="1"/>
    <w:qFormat/>
    <w:uiPriority w:val="0"/>
    <w:pPr>
      <w:widowControl/>
      <w:jc w:val="left"/>
    </w:pPr>
    <w:rPr>
      <w:rFonts w:ascii="宋体" w:hAnsi="宋体" w:eastAsia="宋体" w:cs="宋体"/>
      <w:kern w:val="0"/>
      <w:sz w:val="24"/>
      <w:szCs w:val="24"/>
    </w:rPr>
  </w:style>
  <w:style w:type="character" w:customStyle="1" w:styleId="515">
    <w:name w:val="未处理的提及1"/>
    <w:unhideWhenUsed/>
    <w:qFormat/>
    <w:uiPriority w:val="99"/>
    <w:rPr>
      <w:color w:val="605E5C"/>
      <w:shd w:val="clear" w:color="auto" w:fill="E1DFDD"/>
    </w:rPr>
  </w:style>
  <w:style w:type="paragraph" w:customStyle="1" w:styleId="516">
    <w:name w:val="首行缩进"/>
    <w:basedOn w:val="1"/>
    <w:qFormat/>
    <w:uiPriority w:val="0"/>
    <w:pPr>
      <w:widowControl/>
      <w:spacing w:line="360" w:lineRule="auto"/>
      <w:ind w:firstLine="480" w:firstLineChars="200"/>
      <w:jc w:val="left"/>
    </w:pPr>
    <w:rPr>
      <w:rFonts w:ascii="宋体" w:hAnsi="宋体" w:eastAsia="宋体" w:cs="宋体"/>
      <w:kern w:val="0"/>
      <w:sz w:val="24"/>
      <w:szCs w:val="20"/>
    </w:rPr>
  </w:style>
  <w:style w:type="paragraph" w:customStyle="1" w:styleId="517">
    <w:name w:val="_Style 1"/>
    <w:basedOn w:val="1"/>
    <w:qFormat/>
    <w:uiPriority w:val="0"/>
    <w:pPr>
      <w:autoSpaceDE w:val="0"/>
      <w:autoSpaceDN w:val="0"/>
      <w:ind w:firstLine="420" w:firstLineChars="200"/>
      <w:jc w:val="left"/>
    </w:pPr>
    <w:rPr>
      <w:rFonts w:ascii="宋体" w:hAnsi="宋体" w:eastAsia="宋体" w:cs="宋体"/>
      <w:kern w:val="0"/>
      <w:sz w:val="22"/>
      <w:lang w:val="zh-CN" w:bidi="zh-CN"/>
    </w:rPr>
  </w:style>
  <w:style w:type="character" w:customStyle="1" w:styleId="518">
    <w:name w:val="不明显参考3"/>
    <w:qFormat/>
    <w:uiPriority w:val="0"/>
    <w:rPr>
      <w:smallCaps/>
      <w:color w:val="C0504D"/>
      <w:u w:val="single"/>
    </w:rPr>
  </w:style>
  <w:style w:type="character" w:customStyle="1" w:styleId="519">
    <w:name w:val="不明显强调3"/>
    <w:qFormat/>
    <w:uiPriority w:val="0"/>
    <w:rPr>
      <w:i/>
      <w:iCs/>
      <w:color w:val="808080"/>
    </w:rPr>
  </w:style>
  <w:style w:type="character" w:customStyle="1" w:styleId="520">
    <w:name w:val="明显强调3"/>
    <w:qFormat/>
    <w:uiPriority w:val="0"/>
    <w:rPr>
      <w:b/>
      <w:bCs/>
      <w:i/>
      <w:iCs/>
      <w:color w:val="4F81BD"/>
    </w:rPr>
  </w:style>
  <w:style w:type="character" w:customStyle="1" w:styleId="521">
    <w:name w:val="书籍标题3"/>
    <w:qFormat/>
    <w:uiPriority w:val="0"/>
    <w:rPr>
      <w:b/>
      <w:bCs/>
      <w:smallCaps/>
      <w:spacing w:val="5"/>
    </w:rPr>
  </w:style>
  <w:style w:type="character" w:customStyle="1" w:styleId="522">
    <w:name w:val="明显参考3"/>
    <w:qFormat/>
    <w:uiPriority w:val="0"/>
    <w:rPr>
      <w:b/>
      <w:bCs/>
      <w:smallCaps/>
      <w:color w:val="C0504D"/>
      <w:spacing w:val="5"/>
      <w:u w:val="single"/>
    </w:rPr>
  </w:style>
  <w:style w:type="paragraph" w:customStyle="1" w:styleId="523">
    <w:name w:val="修订3"/>
    <w:qFormat/>
    <w:uiPriority w:val="0"/>
    <w:rPr>
      <w:rFonts w:ascii="Times New Roman" w:hAnsi="Times New Roman" w:eastAsia="宋体" w:cs="Times New Roman"/>
      <w:kern w:val="2"/>
      <w:sz w:val="21"/>
      <w:szCs w:val="24"/>
      <w:lang w:val="en-US" w:eastAsia="zh-CN" w:bidi="ar-SA"/>
    </w:rPr>
  </w:style>
  <w:style w:type="paragraph" w:customStyle="1" w:styleId="524">
    <w:name w:val="TOC 标题3"/>
    <w:basedOn w:val="2"/>
    <w:next w:val="1"/>
    <w:qFormat/>
    <w:uiPriority w:val="0"/>
    <w:pPr>
      <w:pageBreakBefore w:val="0"/>
      <w:widowControl/>
      <w:adjustRightInd/>
      <w:snapToGrid/>
      <w:spacing w:before="0" w:after="0" w:line="276" w:lineRule="auto"/>
      <w:jc w:val="left"/>
      <w:outlineLvl w:val="9"/>
    </w:pPr>
    <w:rPr>
      <w:rFonts w:ascii="Cambria" w:hAnsi="Cambria" w:eastAsia="宋体" w:cs="Times New Roman"/>
      <w:b/>
      <w:bCs/>
      <w:color w:val="365F91"/>
      <w:sz w:val="28"/>
      <w:szCs w:val="28"/>
    </w:rPr>
  </w:style>
  <w:style w:type="character" w:customStyle="1" w:styleId="525">
    <w:name w:val="访问过的超链接11"/>
    <w:qFormat/>
    <w:uiPriority w:val="99"/>
    <w:rPr>
      <w:color w:val="800080"/>
      <w:u w:val="single"/>
    </w:rPr>
  </w:style>
  <w:style w:type="table" w:customStyle="1" w:styleId="526">
    <w:name w:val="网格型12"/>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27">
    <w:name w:val="正文文本 Char Char"/>
    <w:qFormat/>
    <w:uiPriority w:val="0"/>
    <w:rPr>
      <w:rFonts w:cs="Times New Roman"/>
      <w:sz w:val="20"/>
      <w:szCs w:val="20"/>
    </w:rPr>
  </w:style>
  <w:style w:type="character" w:customStyle="1" w:styleId="528">
    <w:name w:val="layui-layer-tabnow"/>
    <w:qFormat/>
    <w:uiPriority w:val="0"/>
    <w:rPr>
      <w:bdr w:val="single" w:color="CCCCCC" w:sz="4" w:space="0"/>
      <w:shd w:val="clear" w:color="auto" w:fill="FFFFFF"/>
    </w:rPr>
  </w:style>
  <w:style w:type="character" w:customStyle="1" w:styleId="529">
    <w:name w:val="first-child"/>
    <w:qFormat/>
    <w:uiPriority w:val="0"/>
  </w:style>
  <w:style w:type="character" w:customStyle="1" w:styleId="530">
    <w:name w:val="正文2 Char Char"/>
    <w:qFormat/>
    <w:uiPriority w:val="0"/>
    <w:rPr>
      <w:sz w:val="24"/>
    </w:rPr>
  </w:style>
  <w:style w:type="character" w:customStyle="1" w:styleId="531">
    <w:name w:val="标题 Char Char"/>
    <w:qFormat/>
    <w:uiPriority w:val="0"/>
    <w:rPr>
      <w:rFonts w:ascii="Cambria" w:hAnsi="Cambria" w:eastAsia="宋体" w:cs="Times New Roman"/>
      <w:b/>
      <w:bCs/>
      <w:sz w:val="32"/>
      <w:szCs w:val="32"/>
    </w:rPr>
  </w:style>
  <w:style w:type="character" w:customStyle="1" w:styleId="532">
    <w:name w:val="二级目录 Char Char"/>
    <w:qFormat/>
    <w:uiPriority w:val="0"/>
    <w:rPr>
      <w:b/>
      <w:sz w:val="30"/>
      <w:szCs w:val="28"/>
      <w:lang w:eastAsia="en-US"/>
    </w:rPr>
  </w:style>
  <w:style w:type="character" w:customStyle="1" w:styleId="533">
    <w:name w:val="标题 2 Char Char"/>
    <w:qFormat/>
    <w:uiPriority w:val="0"/>
    <w:rPr>
      <w:rFonts w:ascii="Cambria" w:hAnsi="Cambria" w:eastAsia="宋体" w:cs="Times New Roman"/>
      <w:b/>
      <w:bCs/>
      <w:sz w:val="32"/>
      <w:szCs w:val="32"/>
      <w:lang w:val="zh-CN" w:eastAsia="zh-CN" w:bidi="zh-CN"/>
    </w:rPr>
  </w:style>
  <w:style w:type="character" w:customStyle="1" w:styleId="534">
    <w:name w:val="明显引用 Char4"/>
    <w:qFormat/>
    <w:uiPriority w:val="30"/>
    <w:rPr>
      <w:b/>
      <w:bCs/>
      <w:i/>
      <w:iCs/>
      <w:color w:val="4F81BD"/>
    </w:rPr>
  </w:style>
  <w:style w:type="character" w:customStyle="1" w:styleId="535">
    <w:name w:val="注释标题 Char Char"/>
    <w:qFormat/>
    <w:uiPriority w:val="0"/>
    <w:rPr>
      <w:rFonts w:ascii="..ì." w:eastAsia="..ì."/>
      <w:sz w:val="24"/>
    </w:rPr>
  </w:style>
  <w:style w:type="table" w:customStyle="1" w:styleId="536">
    <w:name w:val="Table Normal12"/>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537">
    <w:name w:val="_Style 5"/>
    <w:basedOn w:val="2"/>
    <w:next w:val="1"/>
    <w:qFormat/>
    <w:uiPriority w:val="0"/>
    <w:pPr>
      <w:pageBreakBefore w:val="0"/>
      <w:widowControl/>
      <w:tabs>
        <w:tab w:val="left" w:pos="600"/>
      </w:tabs>
      <w:adjustRightInd/>
      <w:snapToGrid/>
      <w:spacing w:before="0" w:after="0" w:line="276" w:lineRule="auto"/>
      <w:ind w:left="600"/>
      <w:jc w:val="left"/>
      <w:outlineLvl w:val="9"/>
    </w:pPr>
    <w:rPr>
      <w:rFonts w:ascii="Cambria" w:hAnsi="Cambria" w:eastAsia="宋体" w:cs="Times New Roman"/>
      <w:bCs/>
      <w:color w:val="365F91"/>
      <w:sz w:val="30"/>
      <w:szCs w:val="28"/>
    </w:rPr>
  </w:style>
  <w:style w:type="table" w:customStyle="1" w:styleId="538">
    <w:name w:val="Table Normal4"/>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39">
    <w:name w:val="Table Normal5"/>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0">
    <w:name w:val="Table Normal6"/>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1">
    <w:name w:val="Table Normal7"/>
    <w:unhideWhenUsed/>
    <w:qFormat/>
    <w:uiPriority w:val="2"/>
    <w:tblPr>
      <w:tblCellMar>
        <w:top w:w="0" w:type="dxa"/>
        <w:left w:w="0" w:type="dxa"/>
        <w:bottom w:w="0" w:type="dxa"/>
        <w:right w:w="0" w:type="dxa"/>
      </w:tblCellMar>
    </w:tblPr>
  </w:style>
  <w:style w:type="table" w:customStyle="1" w:styleId="542">
    <w:name w:val="Table Normal8"/>
    <w:unhideWhenUsed/>
    <w:qFormat/>
    <w:uiPriority w:val="2"/>
    <w:tblPr>
      <w:tblCellMar>
        <w:top w:w="0" w:type="dxa"/>
        <w:left w:w="0" w:type="dxa"/>
        <w:bottom w:w="0" w:type="dxa"/>
        <w:right w:w="0" w:type="dxa"/>
      </w:tblCellMar>
    </w:tblPr>
  </w:style>
  <w:style w:type="table" w:customStyle="1" w:styleId="543">
    <w:name w:val="网格型7"/>
    <w:basedOn w:val="5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44">
    <w:name w:val="未处理的提及2"/>
    <w:basedOn w:val="60"/>
    <w:unhideWhenUsed/>
    <w:qFormat/>
    <w:uiPriority w:val="99"/>
    <w:rPr>
      <w:color w:val="605E5C"/>
      <w:shd w:val="clear" w:color="auto" w:fill="E1DFDD"/>
    </w:rPr>
  </w:style>
  <w:style w:type="paragraph" w:customStyle="1" w:styleId="545">
    <w:name w:val="编号，小四"/>
    <w:basedOn w:val="1"/>
    <w:link w:val="547"/>
    <w:qFormat/>
    <w:uiPriority w:val="0"/>
    <w:pPr>
      <w:numPr>
        <w:ilvl w:val="0"/>
        <w:numId w:val="6"/>
      </w:numPr>
      <w:spacing w:line="360" w:lineRule="auto"/>
    </w:pPr>
    <w:rPr>
      <w:rFonts w:ascii="Arial" w:hAnsi="Arial" w:eastAsia="宋体" w:cs="宋体"/>
      <w:sz w:val="24"/>
      <w:szCs w:val="20"/>
    </w:rPr>
  </w:style>
  <w:style w:type="paragraph" w:customStyle="1" w:styleId="546">
    <w:name w:val="样式 首行缩进:  0 字符"/>
    <w:basedOn w:val="1"/>
    <w:link w:val="551"/>
    <w:qFormat/>
    <w:uiPriority w:val="0"/>
    <w:pPr>
      <w:spacing w:line="360" w:lineRule="auto"/>
      <w:ind w:firstLine="200" w:firstLineChars="200"/>
    </w:pPr>
    <w:rPr>
      <w:rFonts w:ascii="Arial" w:hAnsi="Arial" w:eastAsia="宋体" w:cs="宋体"/>
      <w:sz w:val="24"/>
      <w:szCs w:val="20"/>
    </w:rPr>
  </w:style>
  <w:style w:type="character" w:customStyle="1" w:styleId="547">
    <w:name w:val="编号，小四 Char"/>
    <w:link w:val="545"/>
    <w:qFormat/>
    <w:uiPriority w:val="0"/>
    <w:rPr>
      <w:rFonts w:ascii="Arial" w:hAnsi="Arial" w:eastAsia="宋体" w:cs="宋体"/>
      <w:sz w:val="24"/>
      <w:szCs w:val="20"/>
    </w:rPr>
  </w:style>
  <w:style w:type="character" w:customStyle="1" w:styleId="548">
    <w:name w:val="题注 字符"/>
    <w:link w:val="16"/>
    <w:qFormat/>
    <w:locked/>
    <w:uiPriority w:val="35"/>
    <w:rPr>
      <w:rFonts w:ascii="Cambria" w:hAnsi="Cambria" w:eastAsia="黑体" w:cs="Times New Roman"/>
      <w:sz w:val="20"/>
      <w:szCs w:val="20"/>
    </w:rPr>
  </w:style>
  <w:style w:type="paragraph" w:customStyle="1" w:styleId="549">
    <w:name w:val="*正文"/>
    <w:basedOn w:val="1"/>
    <w:link w:val="550"/>
    <w:qFormat/>
    <w:uiPriority w:val="0"/>
    <w:pPr>
      <w:spacing w:line="360" w:lineRule="auto"/>
      <w:ind w:firstLine="200" w:firstLineChars="200"/>
    </w:pPr>
    <w:rPr>
      <w:rFonts w:ascii="宋体" w:hAnsi="宋体" w:eastAsia="宋体" w:cs="Times New Roman"/>
      <w:sz w:val="24"/>
      <w:szCs w:val="24"/>
    </w:rPr>
  </w:style>
  <w:style w:type="character" w:customStyle="1" w:styleId="550">
    <w:name w:val="*正文 Char"/>
    <w:link w:val="549"/>
    <w:qFormat/>
    <w:uiPriority w:val="0"/>
    <w:rPr>
      <w:rFonts w:ascii="宋体" w:hAnsi="宋体" w:eastAsia="宋体" w:cs="Times New Roman"/>
      <w:sz w:val="24"/>
      <w:szCs w:val="24"/>
    </w:rPr>
  </w:style>
  <w:style w:type="character" w:customStyle="1" w:styleId="551">
    <w:name w:val="样式 首行缩进:  0 字符 Char"/>
    <w:link w:val="546"/>
    <w:qFormat/>
    <w:locked/>
    <w:uiPriority w:val="0"/>
    <w:rPr>
      <w:rFonts w:ascii="Arial" w:hAnsi="Arial" w:eastAsia="宋体" w:cs="宋体"/>
      <w:sz w:val="24"/>
      <w:szCs w:val="20"/>
    </w:rPr>
  </w:style>
  <w:style w:type="character" w:customStyle="1" w:styleId="552">
    <w:name w:val="标题6 Char"/>
    <w:link w:val="496"/>
    <w:qFormat/>
    <w:uiPriority w:val="0"/>
    <w:rPr>
      <w:rFonts w:ascii="Times New Roman" w:hAnsi="Times New Roman" w:eastAsia="宋体" w:cs="Times New Roman"/>
      <w:bCs/>
      <w:sz w:val="24"/>
      <w:szCs w:val="28"/>
      <w:lang w:val="zh-CN"/>
    </w:rPr>
  </w:style>
  <w:style w:type="character" w:customStyle="1" w:styleId="553">
    <w:name w:val="普通(网站) 字符"/>
    <w:link w:val="52"/>
    <w:qFormat/>
    <w:uiPriority w:val="99"/>
    <w:rPr>
      <w:rFonts w:ascii="宋体" w:hAnsi="宋体" w:eastAsia="宋体" w:cs="宋体"/>
      <w:kern w:val="0"/>
      <w:sz w:val="24"/>
      <w:szCs w:val="24"/>
    </w:rPr>
  </w:style>
  <w:style w:type="paragraph" w:styleId="554">
    <w:name w:val="List Paragraph"/>
    <w:basedOn w:val="1"/>
    <w:unhideWhenUsed/>
    <w:qFormat/>
    <w:uiPriority w:val="99"/>
    <w:pPr>
      <w:ind w:firstLine="420" w:firstLineChars="200"/>
    </w:pPr>
  </w:style>
  <w:style w:type="paragraph" w:customStyle="1" w:styleId="555">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6DF48-813E-4BAD-8443-C261B7F927E8}">
  <ds:schemaRefs/>
</ds:datastoreItem>
</file>

<file path=docProps/app.xml><?xml version="1.0" encoding="utf-8"?>
<Properties xmlns="http://schemas.openxmlformats.org/officeDocument/2006/extended-properties" xmlns:vt="http://schemas.openxmlformats.org/officeDocument/2006/docPropsVTypes">
  <Template>Normal</Template>
  <Pages>41</Pages>
  <Words>8367</Words>
  <Characters>8635</Characters>
  <Lines>169</Lines>
  <Paragraphs>47</Paragraphs>
  <TotalTime>6</TotalTime>
  <ScaleCrop>false</ScaleCrop>
  <LinksUpToDate>false</LinksUpToDate>
  <CharactersWithSpaces>8711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2024-10-14T01:51:00Z</dcterms:created>
  <dc:creator>张 屹</dc:creator>
  <cp:lastModifiedBy>努力努力再努力的吴小宝</cp:lastModifiedBy>
  <cp:lastPrinted>2023-03-04T14:19:00Z</cp:lastPrinted>
  <dcterms:modified xsi:type="dcterms:W3CDTF">2024-10-29T03:18:23Z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523CA1C461EB4C16AB3B21F4657F5913_13</vt:lpwstr>
  </property>
</Properties>
</file>