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35" w:name="_GoBack"/>
      <w:bookmarkEnd w:id="35"/>
    </w:p>
    <w:p w14:paraId="0B93FCD0">
      <w:pPr>
        <w:jc w:val="center"/>
        <w:rPr>
          <w:rFonts w:hint="eastAsia" w:ascii="方正姚体" w:hAnsi="宋体" w:eastAsia="方正姚体" w:cs="Times New Roman"/>
          <w:b/>
          <w:sz w:val="40"/>
          <w:szCs w:val="40"/>
        </w:rPr>
      </w:pPr>
    </w:p>
    <w:p w14:paraId="4756662B">
      <w:pPr>
        <w:jc w:val="center"/>
        <w:rPr>
          <w:rFonts w:hint="eastAsia" w:ascii="方正姚体" w:hAnsi="宋体" w:eastAsia="方正姚体" w:cs="Times New Roman"/>
          <w:b/>
          <w:sz w:val="40"/>
          <w:szCs w:val="40"/>
        </w:rPr>
      </w:pPr>
    </w:p>
    <w:p w14:paraId="589A58B6">
      <w:pPr>
        <w:spacing w:line="300" w:lineRule="auto"/>
        <w:ind w:right="-913" w:rightChars="-435"/>
        <w:jc w:val="center"/>
        <w:rPr>
          <w:rFonts w:ascii="黑体" w:hAnsi="Calibri" w:eastAsia="黑体" w:cs="Times New Roman"/>
          <w:sz w:val="52"/>
          <w:szCs w:val="52"/>
        </w:rPr>
      </w:pPr>
      <w:r>
        <w:rPr>
          <w:rFonts w:hint="eastAsia" w:ascii="宋体" w:hAnsi="宋体" w:eastAsia="宋体" w:cs="Times New Roman"/>
          <w:b/>
          <w:sz w:val="40"/>
          <w:szCs w:val="40"/>
        </w:rPr>
        <w:t>南京审计大学金审学院人事管理综合应用系统项目</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2024年11月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13</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15</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27</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51B3BCDC">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南京审计大学金审学院人事管理综合应用系统项目已由项目审批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项目名称：南京审计大学金审学院人事管理综合应用系统项目</w:t>
      </w:r>
    </w:p>
    <w:p w14:paraId="13DD954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采购需求：本项目为南京审计大学金审学院人事管理综合应用系统，详见磋商文件第四章项目需求。</w:t>
      </w:r>
    </w:p>
    <w:p w14:paraId="3609542E">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最高限价：50</w:t>
      </w:r>
      <w:r>
        <w:rPr>
          <w:rFonts w:hint="eastAsia" w:ascii="宋体" w:hAnsi="宋体" w:eastAsia="宋体" w:cs="Times New Roman"/>
          <w:sz w:val="24"/>
        </w:rPr>
        <w:t>万</w:t>
      </w:r>
      <w:r>
        <w:rPr>
          <w:rFonts w:hint="eastAsia" w:ascii="宋体" w:hAnsi="宋体" w:eastAsia="宋体" w:cs="Times New Roman"/>
          <w:sz w:val="24"/>
          <w:lang w:val="zh-CN"/>
        </w:rPr>
        <w:t>元</w:t>
      </w:r>
    </w:p>
    <w:p w14:paraId="1EEF469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服务期：合同签订后90个日历日完成</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、具有良好的商业信誉和健全的财务会计制度（提供202</w:t>
      </w:r>
      <w:r>
        <w:rPr>
          <w:rFonts w:hint="eastAsia" w:ascii="宋体" w:hAnsi="宋体" w:eastAsia="宋体" w:cs="Times New Roman"/>
          <w:sz w:val="24"/>
        </w:rPr>
        <w:t>3</w:t>
      </w:r>
      <w:r>
        <w:rPr>
          <w:rFonts w:ascii="宋体" w:hAnsi="宋体" w:eastAsia="宋体" w:cs="Times New Roman"/>
          <w:sz w:val="24"/>
        </w:rPr>
        <w:t>年度经审计的财务报表，或招标截止时间前六个月内银行出具的资信证明）；</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1、获取时间：从 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2</w:t>
      </w:r>
      <w:r>
        <w:rPr>
          <w:rFonts w:ascii="宋体" w:hAnsi="宋体" w:eastAsia="宋体" w:cs="Times New Roman"/>
          <w:sz w:val="24"/>
          <w:lang w:val="zh-CN"/>
        </w:rPr>
        <w:t>日09时00分到202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10</w:t>
      </w:r>
      <w:r>
        <w:rPr>
          <w:rFonts w:ascii="宋体" w:hAnsi="宋体" w:eastAsia="宋体" w:cs="Times New Roman"/>
          <w:sz w:val="24"/>
          <w:lang w:val="zh-CN"/>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2、报名资料：包括委托人将单位介绍信或法人授权委托书、领取文件登记表（详见附件）、文件费转账截图发送至邮箱。本项目只接受网上报名，受理报名邮箱为zbb_naujsc@163.com，报名联系人：张老师025-85780003</w:t>
      </w:r>
    </w:p>
    <w:p w14:paraId="7C11D69C">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sz w:val="24"/>
          <w:lang w:val="zh-CN"/>
        </w:rPr>
        <w:t>5</w:t>
      </w:r>
      <w:r>
        <w:rPr>
          <w:rFonts w:ascii="宋体" w:hAnsi="宋体" w:eastAsia="宋体" w:cs="Times New Roman"/>
          <w:sz w:val="24"/>
          <w:lang w:val="zh-CN"/>
        </w:rPr>
        <w:t>00元，售后不退。文件费电汇至如下账户：南京审计大学金审学院，开户银行名称：</w:t>
      </w:r>
      <w:r>
        <w:rPr>
          <w:rFonts w:hint="eastAsia" w:ascii="宋体" w:hAnsi="宋体" w:eastAsia="宋体" w:cs="Times New Roman"/>
          <w:sz w:val="24"/>
          <w:lang w:val="zh-CN"/>
        </w:rPr>
        <w:t>工商银行紫东支行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，汇款请注明投标项目名称：金审</w:t>
      </w:r>
      <w:r>
        <w:rPr>
          <w:rFonts w:hint="eastAsia" w:ascii="宋体" w:hAnsi="宋体" w:eastAsia="宋体" w:cs="Times New Roman"/>
          <w:sz w:val="24"/>
          <w:lang w:val="zh-CN"/>
        </w:rPr>
        <w:t>人事管理系统</w:t>
      </w:r>
      <w:r>
        <w:rPr>
          <w:rFonts w:ascii="宋体" w:hAnsi="宋体" w:eastAsia="宋体" w:cs="Times New Roman"/>
          <w:sz w:val="24"/>
          <w:lang w:val="zh-CN"/>
        </w:rPr>
        <w:t>项目。</w:t>
      </w:r>
      <w:r>
        <w:rPr>
          <w:rFonts w:hint="eastAsia" w:ascii="宋体" w:hAnsi="宋体" w:eastAsia="宋体" w:cs="Times New Roman"/>
          <w:sz w:val="24"/>
          <w:lang w:val="zh-CN"/>
        </w:rPr>
        <w:t>招标文件见公告附件。</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bookmarkStart w:id="2" w:name="_Hlk183505892"/>
      <w:r>
        <w:rPr>
          <w:rFonts w:hint="eastAsia" w:ascii="宋体" w:hAnsi="宋体" w:eastAsia="宋体" w:cs="Times New Roman"/>
          <w:sz w:val="24"/>
        </w:rPr>
        <w:t>1、响应文件提交开始时间：2024年12月13日13时00分。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2、响应文件提交截止时间：2024年12月13日13时30分。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3、响应文件提交地点：南京市栖霞区仙林大道100号行政楼T南302会议室（如修改开标地点，招标人另行通知）。</w:t>
      </w:r>
    </w:p>
    <w:p w14:paraId="1B469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响应文件份数：纸质版响应文件一式叁份（壹份正本、贰份副本），电子版响应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p>
    <w:bookmarkEnd w:id="2"/>
    <w:p w14:paraId="62C4FAD7">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sz w:val="24"/>
        </w:rPr>
        <w:t>202</w:t>
      </w:r>
      <w:r>
        <w:rPr>
          <w:rFonts w:hint="eastAsia" w:ascii="宋体" w:hAnsi="宋体" w:eastAsia="宋体" w:cs="Times New Roman"/>
          <w:sz w:val="24"/>
        </w:rPr>
        <w:t>4</w:t>
      </w:r>
      <w:r>
        <w:rPr>
          <w:rFonts w:ascii="宋体" w:hAnsi="宋体" w:eastAsia="宋体" w:cs="Times New Roman"/>
          <w:sz w:val="24"/>
        </w:rPr>
        <w:t>年</w:t>
      </w:r>
      <w:r>
        <w:rPr>
          <w:rFonts w:hint="eastAsia" w:ascii="宋体" w:hAnsi="宋体" w:eastAsia="宋体" w:cs="Times New Roman"/>
          <w:sz w:val="24"/>
        </w:rPr>
        <w:t>12</w:t>
      </w:r>
      <w:r>
        <w:rPr>
          <w:rFonts w:ascii="宋体" w:hAnsi="宋体" w:eastAsia="宋体" w:cs="Times New Roman"/>
          <w:sz w:val="24"/>
        </w:rPr>
        <w:t>月</w:t>
      </w:r>
      <w:r>
        <w:rPr>
          <w:rFonts w:hint="eastAsia" w:ascii="宋体" w:hAnsi="宋体" w:eastAsia="宋体" w:cs="Times New Roman"/>
          <w:sz w:val="24"/>
        </w:rPr>
        <w:t>13</w:t>
      </w:r>
      <w:r>
        <w:rPr>
          <w:rFonts w:ascii="宋体" w:hAnsi="宋体" w:eastAsia="宋体" w:cs="Times New Roman"/>
          <w:sz w:val="24"/>
        </w:rPr>
        <w:t>日</w:t>
      </w:r>
      <w:r>
        <w:rPr>
          <w:rFonts w:hint="eastAsia" w:ascii="宋体" w:hAnsi="宋体" w:eastAsia="宋体" w:cs="Times New Roman"/>
          <w:sz w:val="24"/>
        </w:rPr>
        <w:t>13</w:t>
      </w:r>
      <w:r>
        <w:rPr>
          <w:rFonts w:ascii="宋体" w:hAnsi="宋体" w:eastAsia="宋体" w:cs="Times New Roman"/>
          <w:sz w:val="24"/>
        </w:rPr>
        <w:t>时</w:t>
      </w:r>
      <w:r>
        <w:rPr>
          <w:rFonts w:hint="eastAsia" w:ascii="宋体" w:hAnsi="宋体" w:eastAsia="宋体" w:cs="Times New Roman"/>
          <w:sz w:val="24"/>
        </w:rPr>
        <w:t>30</w:t>
      </w:r>
      <w:r>
        <w:rPr>
          <w:rFonts w:ascii="宋体" w:hAnsi="宋体" w:eastAsia="宋体" w:cs="Times New Roman"/>
          <w:sz w:val="24"/>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w:t>
      </w:r>
      <w:bookmarkStart w:id="3" w:name="_Hlk183505934"/>
      <w:r>
        <w:rPr>
          <w:rFonts w:hint="eastAsia" w:ascii="宋体" w:hAnsi="宋体" w:eastAsia="宋体" w:cs="Times New Roman"/>
          <w:sz w:val="24"/>
        </w:rPr>
        <w:t>南京市栖霞区仙林大道100号行政楼T南302会议室（如修改开标地点，招标人另行通知）。</w:t>
      </w:r>
      <w:bookmarkEnd w:id="3"/>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1BE0612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hint="eastAsia" w:ascii="宋体" w:hAnsi="宋体" w:eastAsia="宋体" w:cs="Times New Roman"/>
          <w:b/>
          <w:bCs/>
          <w:i/>
          <w:iCs/>
          <w:sz w:val="24"/>
        </w:rPr>
        <w:t>本项目可能通过校银合作渠道实施。</w:t>
      </w:r>
    </w:p>
    <w:p w14:paraId="525F4D8F">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七、监督部门</w:t>
      </w:r>
    </w:p>
    <w:p w14:paraId="2D2F51A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本招标项目的监督部门为：</w:t>
      </w:r>
      <w:r>
        <w:rPr>
          <w:rFonts w:ascii="宋体" w:hAnsi="宋体" w:eastAsia="宋体" w:cs="Times New Roman"/>
          <w:sz w:val="24"/>
          <w:lang w:val="zh-CN"/>
        </w:rPr>
        <w:t>/。</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八、联系方式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4896C3A3">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联</w:t>
      </w:r>
      <w:r>
        <w:rPr>
          <w:rFonts w:ascii="宋体" w:hAnsi="宋体" w:eastAsia="宋体" w:cs="Times New Roman"/>
          <w:sz w:val="24"/>
          <w:lang w:val="zh-CN"/>
        </w:rPr>
        <w:t xml:space="preserve"> 系 人：张老师</w:t>
      </w:r>
    </w:p>
    <w:p w14:paraId="5ADC15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电</w:t>
      </w:r>
      <w:r>
        <w:rPr>
          <w:rFonts w:ascii="宋体" w:hAnsi="宋体" w:eastAsia="宋体" w:cs="Times New Roman"/>
          <w:sz w:val="24"/>
          <w:lang w:val="zh-CN"/>
        </w:rPr>
        <w:t xml:space="preserve"> 话：025-85780003 </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4" w:name="_Toc179553568"/>
      <w:r>
        <w:rPr>
          <w:rFonts w:hint="eastAsia" w:ascii="宋体" w:hAnsi="宋体" w:eastAsia="宋体" w:cs="宋体"/>
          <w:b/>
          <w:bCs/>
          <w:kern w:val="0"/>
          <w:sz w:val="36"/>
          <w:szCs w:val="36"/>
        </w:rPr>
        <w:t>第二章  投标人须知</w:t>
      </w:r>
      <w:bookmarkEnd w:id="4"/>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5"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南京审计大学金审学院人事管理综合应用系统项目</w:t>
      </w:r>
    </w:p>
    <w:p w14:paraId="1195D613">
      <w:pPr>
        <w:spacing w:line="360" w:lineRule="auto"/>
        <w:ind w:firstLine="475" w:firstLineChars="198"/>
        <w:jc w:val="left"/>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南京审计大学金审学院人事管理综合应用系统项目，详见磋商文件第四章项目需求。</w:t>
      </w:r>
    </w:p>
    <w:p w14:paraId="3C4246EF">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rPr>
        <w:t>3</w:t>
      </w:r>
      <w:r>
        <w:rPr>
          <w:rFonts w:hint="eastAsia" w:ascii="宋体" w:hAnsi="宋体" w:eastAsia="宋体" w:cs="Times New Roman"/>
          <w:bCs/>
          <w:sz w:val="24"/>
        </w:rPr>
        <w:t>、服务期：</w:t>
      </w:r>
      <w:r>
        <w:rPr>
          <w:rFonts w:hint="eastAsia" w:ascii="宋体" w:hAnsi="宋体" w:eastAsia="宋体" w:cs="Times New Roman"/>
          <w:sz w:val="24"/>
          <w:lang w:val="zh-CN"/>
        </w:rPr>
        <w:t>合同签订后90个日历日完成</w:t>
      </w:r>
    </w:p>
    <w:bookmarkEnd w:id="5"/>
    <w:p w14:paraId="55A802D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204205CA">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1、价格部分是对服务价格构成的说明，磋商文件如没有特别说明的话，对每一项服务仅接受一个价格。</w:t>
      </w:r>
    </w:p>
    <w:p w14:paraId="1FE4CAE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2、报价应包含完成本服务项目发生的所有含税费用、支付给员工的工资和国家强制缴纳的各种社会保障资金，以及供应商认为需要的其他费用等。</w:t>
      </w:r>
    </w:p>
    <w:p w14:paraId="27490CC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3、供应商应充分考虑到市场价格变动，以及项目实施过程中的不可预见因素，一旦成交，总价格不变。如果有漏项，视同让利。</w:t>
      </w:r>
    </w:p>
    <w:p w14:paraId="5DA0667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4、经磋商后，如果成交价高于或低于供应商在响应文件首次报价的，分项报价同比例调整。</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一、磋商申请及声明</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二、法定代表人授权委托书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三、拟投入项目人员汇总表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四、近三年类似项目业绩表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五、商务条款偏离表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六、技术条款偏离表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七、服务方案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八、无重大违法记录声明</w:t>
      </w:r>
    </w:p>
    <w:p w14:paraId="466883B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九、具备履行合同所必需的设备和专业技术能力的声明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6" w:name="_Hlk85095957"/>
    </w:p>
    <w:bookmarkEnd w:id="6"/>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7" w:name="_Toc179553569"/>
      <w:r>
        <w:rPr>
          <w:rFonts w:hint="eastAsia" w:ascii="宋体" w:hAnsi="宋体" w:eastAsia="宋体" w:cs="宋体"/>
          <w:b/>
          <w:bCs/>
          <w:kern w:val="0"/>
          <w:sz w:val="36"/>
          <w:szCs w:val="21"/>
        </w:rPr>
        <w:t>第三章  评标方法及标准</w:t>
      </w:r>
      <w:bookmarkEnd w:id="7"/>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43DF443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90"/>
        <w:gridCol w:w="1177"/>
        <w:gridCol w:w="5812"/>
        <w:gridCol w:w="992"/>
      </w:tblGrid>
      <w:tr w14:paraId="10EF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C0BA11">
            <w:pPr>
              <w:widowControl/>
              <w:spacing w:line="360" w:lineRule="auto"/>
              <w:jc w:val="center"/>
              <w:rPr>
                <w:rFonts w:hint="eastAsia" w:ascii="宋体" w:hAnsi="宋体" w:eastAsia="宋体"/>
                <w:b/>
                <w:szCs w:val="21"/>
              </w:rPr>
            </w:pPr>
            <w:r>
              <w:rPr>
                <w:rFonts w:hint="eastAsia" w:ascii="宋体" w:hAnsi="宋体" w:eastAsia="宋体"/>
                <w:b/>
                <w:szCs w:val="21"/>
              </w:rPr>
              <w:t>序号</w:t>
            </w:r>
          </w:p>
        </w:tc>
        <w:tc>
          <w:tcPr>
            <w:tcW w:w="1090" w:type="dxa"/>
            <w:vAlign w:val="center"/>
          </w:tcPr>
          <w:p w14:paraId="0FAEE4D6">
            <w:pPr>
              <w:widowControl/>
              <w:spacing w:line="360" w:lineRule="auto"/>
              <w:jc w:val="center"/>
              <w:rPr>
                <w:rFonts w:hint="eastAsia" w:ascii="宋体" w:hAnsi="宋体" w:eastAsia="宋体"/>
                <w:b/>
                <w:szCs w:val="21"/>
              </w:rPr>
            </w:pPr>
            <w:r>
              <w:rPr>
                <w:rFonts w:hint="eastAsia" w:ascii="宋体" w:hAnsi="宋体" w:eastAsia="宋体"/>
                <w:b/>
                <w:szCs w:val="21"/>
              </w:rPr>
              <w:t>评分项目</w:t>
            </w:r>
          </w:p>
        </w:tc>
        <w:tc>
          <w:tcPr>
            <w:tcW w:w="1177" w:type="dxa"/>
            <w:vAlign w:val="center"/>
          </w:tcPr>
          <w:p w14:paraId="438DA43C">
            <w:pPr>
              <w:widowControl/>
              <w:spacing w:line="360" w:lineRule="auto"/>
              <w:jc w:val="center"/>
              <w:rPr>
                <w:rFonts w:hint="eastAsia" w:ascii="宋体" w:hAnsi="宋体" w:eastAsia="宋体"/>
                <w:b/>
                <w:szCs w:val="21"/>
              </w:rPr>
            </w:pPr>
            <w:r>
              <w:rPr>
                <w:rFonts w:hint="eastAsia" w:ascii="宋体" w:hAnsi="宋体" w:eastAsia="宋体"/>
                <w:b/>
                <w:szCs w:val="21"/>
              </w:rPr>
              <w:t>评审</w:t>
            </w:r>
          </w:p>
          <w:p w14:paraId="2BE25802">
            <w:pPr>
              <w:widowControl/>
              <w:spacing w:line="360" w:lineRule="auto"/>
              <w:jc w:val="center"/>
              <w:rPr>
                <w:rFonts w:hint="eastAsia" w:ascii="宋体" w:hAnsi="宋体" w:eastAsia="宋体"/>
                <w:b/>
                <w:szCs w:val="21"/>
              </w:rPr>
            </w:pPr>
            <w:r>
              <w:rPr>
                <w:rFonts w:hint="eastAsia" w:ascii="宋体" w:hAnsi="宋体" w:eastAsia="宋体"/>
                <w:b/>
                <w:szCs w:val="21"/>
              </w:rPr>
              <w:t>因素</w:t>
            </w:r>
          </w:p>
        </w:tc>
        <w:tc>
          <w:tcPr>
            <w:tcW w:w="5812" w:type="dxa"/>
            <w:vAlign w:val="center"/>
          </w:tcPr>
          <w:p w14:paraId="2556FFC6">
            <w:pPr>
              <w:widowControl/>
              <w:spacing w:line="360" w:lineRule="auto"/>
              <w:jc w:val="center"/>
              <w:rPr>
                <w:rFonts w:hint="eastAsia" w:ascii="宋体" w:hAnsi="宋体" w:eastAsia="宋体"/>
                <w:b/>
                <w:szCs w:val="21"/>
              </w:rPr>
            </w:pPr>
            <w:r>
              <w:rPr>
                <w:rFonts w:hint="eastAsia" w:ascii="宋体" w:hAnsi="宋体" w:eastAsia="宋体"/>
                <w:b/>
                <w:szCs w:val="21"/>
              </w:rPr>
              <w:t>评审标准</w:t>
            </w:r>
          </w:p>
        </w:tc>
        <w:tc>
          <w:tcPr>
            <w:tcW w:w="992" w:type="dxa"/>
            <w:vAlign w:val="center"/>
          </w:tcPr>
          <w:p w14:paraId="159F0781">
            <w:pPr>
              <w:widowControl/>
              <w:spacing w:line="360" w:lineRule="auto"/>
              <w:jc w:val="center"/>
              <w:rPr>
                <w:rFonts w:hint="eastAsia" w:ascii="宋体" w:hAnsi="宋体" w:eastAsia="宋体"/>
                <w:b/>
                <w:szCs w:val="21"/>
              </w:rPr>
            </w:pPr>
            <w:r>
              <w:rPr>
                <w:rFonts w:hint="eastAsia" w:ascii="宋体" w:hAnsi="宋体" w:eastAsia="宋体"/>
                <w:b/>
                <w:szCs w:val="21"/>
              </w:rPr>
              <w:t>分值</w:t>
            </w:r>
          </w:p>
        </w:tc>
      </w:tr>
      <w:tr w14:paraId="5CD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C05918">
            <w:pPr>
              <w:widowControl/>
              <w:spacing w:line="360" w:lineRule="auto"/>
              <w:jc w:val="center"/>
              <w:rPr>
                <w:rFonts w:hint="eastAsia" w:ascii="宋体" w:hAnsi="宋体" w:eastAsia="宋体"/>
                <w:b/>
                <w:szCs w:val="21"/>
              </w:rPr>
            </w:pPr>
            <w:r>
              <w:rPr>
                <w:rFonts w:hint="eastAsia" w:ascii="宋体" w:hAnsi="宋体" w:eastAsia="宋体"/>
                <w:b/>
                <w:szCs w:val="21"/>
              </w:rPr>
              <w:t>1</w:t>
            </w:r>
          </w:p>
        </w:tc>
        <w:tc>
          <w:tcPr>
            <w:tcW w:w="1090" w:type="dxa"/>
            <w:vAlign w:val="center"/>
          </w:tcPr>
          <w:p w14:paraId="3826D56C">
            <w:pPr>
              <w:widowControl/>
              <w:spacing w:line="360" w:lineRule="auto"/>
              <w:jc w:val="center"/>
              <w:rPr>
                <w:rFonts w:hint="eastAsia" w:ascii="宋体" w:hAnsi="宋体" w:eastAsia="宋体"/>
                <w:b/>
                <w:szCs w:val="21"/>
              </w:rPr>
            </w:pPr>
            <w:r>
              <w:rPr>
                <w:rFonts w:hint="eastAsia" w:ascii="宋体" w:hAnsi="宋体" w:eastAsia="宋体"/>
                <w:b/>
                <w:szCs w:val="21"/>
              </w:rPr>
              <w:t>价格部分（30分）</w:t>
            </w:r>
          </w:p>
        </w:tc>
        <w:tc>
          <w:tcPr>
            <w:tcW w:w="1177" w:type="dxa"/>
            <w:vAlign w:val="center"/>
          </w:tcPr>
          <w:p w14:paraId="44D652B2">
            <w:pPr>
              <w:widowControl/>
              <w:spacing w:line="360" w:lineRule="auto"/>
              <w:jc w:val="center"/>
              <w:rPr>
                <w:rFonts w:hint="eastAsia" w:ascii="宋体" w:hAnsi="宋体" w:eastAsia="宋体"/>
                <w:b/>
                <w:szCs w:val="21"/>
              </w:rPr>
            </w:pPr>
            <w:r>
              <w:rPr>
                <w:rFonts w:hint="eastAsia" w:ascii="宋体" w:hAnsi="宋体" w:eastAsia="宋体"/>
                <w:b/>
                <w:szCs w:val="21"/>
              </w:rPr>
              <w:t>价格</w:t>
            </w:r>
          </w:p>
          <w:p w14:paraId="6D2F54EC">
            <w:pPr>
              <w:widowControl/>
              <w:spacing w:line="360" w:lineRule="auto"/>
              <w:jc w:val="center"/>
              <w:rPr>
                <w:rFonts w:hint="eastAsia" w:ascii="宋体" w:hAnsi="宋体" w:eastAsia="宋体"/>
                <w:b/>
                <w:szCs w:val="21"/>
              </w:rPr>
            </w:pPr>
            <w:r>
              <w:rPr>
                <w:rFonts w:hint="eastAsia" w:ascii="宋体" w:hAnsi="宋体" w:eastAsia="宋体"/>
                <w:b/>
                <w:szCs w:val="21"/>
              </w:rPr>
              <w:t>（30分）</w:t>
            </w:r>
          </w:p>
        </w:tc>
        <w:tc>
          <w:tcPr>
            <w:tcW w:w="5812" w:type="dxa"/>
            <w:vAlign w:val="center"/>
          </w:tcPr>
          <w:p w14:paraId="6E13A147">
            <w:pPr>
              <w:spacing w:line="360" w:lineRule="auto"/>
              <w:jc w:val="left"/>
              <w:rPr>
                <w:rFonts w:hint="eastAsia" w:ascii="宋体" w:hAnsi="宋体" w:eastAsia="宋体"/>
                <w:szCs w:val="21"/>
              </w:rPr>
            </w:pPr>
            <w:r>
              <w:rPr>
                <w:rFonts w:hint="eastAsia" w:ascii="宋体" w:hAnsi="宋体" w:eastAsia="宋体"/>
                <w:szCs w:val="21"/>
              </w:rPr>
              <w:t>价格分采用低价优先法计算，即满足招标文件要求且投标价格最低的投标报价为评标基准价，其价格分为满分。</w:t>
            </w:r>
          </w:p>
          <w:p w14:paraId="021F10E4">
            <w:pPr>
              <w:spacing w:line="360" w:lineRule="auto"/>
              <w:jc w:val="left"/>
              <w:rPr>
                <w:rFonts w:hint="eastAsia" w:ascii="宋体" w:hAnsi="宋体" w:eastAsia="宋体"/>
                <w:szCs w:val="21"/>
              </w:rPr>
            </w:pPr>
            <w:r>
              <w:rPr>
                <w:rFonts w:hint="eastAsia" w:ascii="宋体" w:hAnsi="宋体" w:eastAsia="宋体"/>
                <w:szCs w:val="21"/>
              </w:rPr>
              <w:t>其他供应商的价格分统一按照下列公式计算（小数点保留两位）：</w:t>
            </w:r>
          </w:p>
          <w:p w14:paraId="17EAF1F5">
            <w:pPr>
              <w:spacing w:line="360" w:lineRule="auto"/>
              <w:jc w:val="left"/>
              <w:rPr>
                <w:rFonts w:hint="eastAsia" w:ascii="宋体" w:hAnsi="宋体" w:eastAsia="宋体"/>
                <w:szCs w:val="21"/>
              </w:rPr>
            </w:pPr>
            <w:r>
              <w:rPr>
                <w:rFonts w:hint="eastAsia" w:ascii="宋体" w:hAnsi="宋体" w:eastAsia="宋体"/>
                <w:szCs w:val="21"/>
              </w:rPr>
              <w:t>投标报价得分=(评标基准价／投标报价)×30。</w:t>
            </w:r>
          </w:p>
        </w:tc>
        <w:tc>
          <w:tcPr>
            <w:tcW w:w="992" w:type="dxa"/>
            <w:vAlign w:val="center"/>
          </w:tcPr>
          <w:p w14:paraId="2B50FBAD">
            <w:pPr>
              <w:widowControl/>
              <w:spacing w:line="360" w:lineRule="auto"/>
              <w:jc w:val="center"/>
              <w:rPr>
                <w:rFonts w:hint="eastAsia" w:ascii="宋体" w:hAnsi="宋体" w:eastAsia="宋体"/>
                <w:b/>
                <w:bCs/>
                <w:szCs w:val="21"/>
              </w:rPr>
            </w:pPr>
            <w:r>
              <w:rPr>
                <w:rFonts w:hint="eastAsia" w:ascii="宋体" w:hAnsi="宋体" w:eastAsia="宋体"/>
                <w:b/>
                <w:bCs/>
                <w:szCs w:val="21"/>
              </w:rPr>
              <w:t>30</w:t>
            </w:r>
          </w:p>
        </w:tc>
      </w:tr>
      <w:tr w14:paraId="3FE1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A48D553">
            <w:pPr>
              <w:spacing w:line="360" w:lineRule="auto"/>
              <w:jc w:val="center"/>
              <w:rPr>
                <w:rFonts w:hint="eastAsia" w:ascii="宋体" w:hAnsi="宋体" w:eastAsia="宋体"/>
                <w:b/>
                <w:szCs w:val="21"/>
              </w:rPr>
            </w:pPr>
            <w:r>
              <w:rPr>
                <w:rFonts w:hint="eastAsia" w:ascii="宋体" w:hAnsi="宋体" w:eastAsia="宋体"/>
                <w:b/>
                <w:szCs w:val="21"/>
              </w:rPr>
              <w:t>2.1</w:t>
            </w:r>
          </w:p>
        </w:tc>
        <w:tc>
          <w:tcPr>
            <w:tcW w:w="1090" w:type="dxa"/>
            <w:vMerge w:val="restart"/>
            <w:vAlign w:val="center"/>
          </w:tcPr>
          <w:p w14:paraId="672CB45B">
            <w:pPr>
              <w:spacing w:line="360" w:lineRule="auto"/>
              <w:jc w:val="center"/>
              <w:rPr>
                <w:rFonts w:hint="eastAsia" w:ascii="宋体" w:hAnsi="宋体" w:eastAsia="宋体"/>
                <w:b/>
                <w:szCs w:val="21"/>
              </w:rPr>
            </w:pPr>
            <w:r>
              <w:rPr>
                <w:rFonts w:hint="eastAsia" w:ascii="宋体" w:hAnsi="宋体" w:eastAsia="宋体"/>
                <w:b/>
                <w:szCs w:val="21"/>
              </w:rPr>
              <w:t>技术部分（40分）</w:t>
            </w:r>
          </w:p>
        </w:tc>
        <w:tc>
          <w:tcPr>
            <w:tcW w:w="1177" w:type="dxa"/>
            <w:vAlign w:val="center"/>
          </w:tcPr>
          <w:p w14:paraId="390FF3C8">
            <w:pPr>
              <w:spacing w:line="360" w:lineRule="auto"/>
              <w:jc w:val="center"/>
              <w:rPr>
                <w:rFonts w:hint="eastAsia" w:ascii="宋体" w:hAnsi="宋体" w:eastAsia="宋体"/>
                <w:b/>
                <w:szCs w:val="21"/>
              </w:rPr>
            </w:pPr>
            <w:r>
              <w:rPr>
                <w:rFonts w:hint="eastAsia" w:ascii="宋体" w:hAnsi="宋体" w:eastAsia="宋体"/>
                <w:b/>
                <w:szCs w:val="21"/>
              </w:rPr>
              <w:t>技术参数（15分）</w:t>
            </w:r>
          </w:p>
        </w:tc>
        <w:tc>
          <w:tcPr>
            <w:tcW w:w="5812" w:type="dxa"/>
            <w:vAlign w:val="center"/>
          </w:tcPr>
          <w:p w14:paraId="340808A3">
            <w:pPr>
              <w:adjustRightInd w:val="0"/>
              <w:snapToGrid w:val="0"/>
              <w:spacing w:line="360" w:lineRule="auto"/>
              <w:jc w:val="left"/>
              <w:rPr>
                <w:rFonts w:hint="eastAsia" w:ascii="宋体" w:hAnsi="宋体" w:eastAsia="宋体"/>
                <w:szCs w:val="21"/>
              </w:rPr>
            </w:pPr>
            <w:r>
              <w:rPr>
                <w:rFonts w:hint="eastAsia" w:ascii="宋体" w:hAnsi="宋体" w:eastAsia="宋体"/>
                <w:szCs w:val="21"/>
              </w:rPr>
              <w:t>根据</w:t>
            </w:r>
            <w:r>
              <w:rPr>
                <w:rFonts w:ascii="宋体" w:hAnsi="宋体" w:eastAsia="宋体"/>
                <w:szCs w:val="21"/>
              </w:rPr>
              <w:t>“第</w:t>
            </w:r>
            <w:r>
              <w:rPr>
                <w:rFonts w:hint="eastAsia" w:ascii="宋体" w:hAnsi="宋体" w:eastAsia="宋体"/>
                <w:szCs w:val="21"/>
              </w:rPr>
              <w:t>四</w:t>
            </w:r>
            <w:r>
              <w:rPr>
                <w:rFonts w:ascii="宋体" w:hAnsi="宋体" w:eastAsia="宋体"/>
                <w:szCs w:val="21"/>
              </w:rPr>
              <w:t>章  采购项目需求”中</w:t>
            </w:r>
            <w:r>
              <w:rPr>
                <w:rFonts w:hint="eastAsia" w:ascii="宋体" w:hAnsi="宋体" w:eastAsia="宋体"/>
                <w:szCs w:val="21"/>
              </w:rPr>
              <w:t>技术路线、安全要求、项目建设内容需求中</w:t>
            </w:r>
            <w:r>
              <w:rPr>
                <w:rFonts w:ascii="宋体" w:hAnsi="宋体" w:eastAsia="宋体"/>
                <w:szCs w:val="21"/>
              </w:rPr>
              <w:t>参数要求 全部满足招标要求的得满分</w:t>
            </w:r>
            <w:r>
              <w:rPr>
                <w:rFonts w:hint="eastAsia" w:ascii="宋体" w:hAnsi="宋体" w:eastAsia="宋体"/>
                <w:szCs w:val="21"/>
              </w:rPr>
              <w:t>15</w:t>
            </w:r>
            <w:r>
              <w:rPr>
                <w:rFonts w:ascii="宋体" w:hAnsi="宋体" w:eastAsia="宋体"/>
                <w:szCs w:val="21"/>
              </w:rPr>
              <w:t>分；打▲号指标为重要技术参数，如有负偏离有一项负偏离评委视其重要程度酌情扣</w:t>
            </w:r>
            <w:r>
              <w:rPr>
                <w:rFonts w:hint="eastAsia" w:ascii="宋体" w:hAnsi="宋体" w:eastAsia="宋体"/>
                <w:szCs w:val="21"/>
              </w:rPr>
              <w:t>2</w:t>
            </w:r>
            <w:r>
              <w:rPr>
                <w:rFonts w:ascii="宋体" w:hAnsi="宋体" w:eastAsia="宋体"/>
                <w:szCs w:val="21"/>
              </w:rPr>
              <w:t>分；非打▲号指标为一般参数，有一项负偏离评委视其重要程度酌情扣</w:t>
            </w:r>
            <w:r>
              <w:rPr>
                <w:rFonts w:hint="eastAsia" w:ascii="宋体" w:hAnsi="宋体" w:eastAsia="宋体"/>
                <w:szCs w:val="21"/>
              </w:rPr>
              <w:t>1</w:t>
            </w:r>
            <w:r>
              <w:rPr>
                <w:rFonts w:ascii="宋体" w:hAnsi="宋体" w:eastAsia="宋体"/>
                <w:szCs w:val="21"/>
              </w:rPr>
              <w:t>分，扣完为止。严重负偏离且影响设备性能的，经半数以上评委认定，本项不得分。</w:t>
            </w:r>
          </w:p>
        </w:tc>
        <w:tc>
          <w:tcPr>
            <w:tcW w:w="992" w:type="dxa"/>
            <w:vAlign w:val="center"/>
          </w:tcPr>
          <w:p w14:paraId="33402BE8">
            <w:pPr>
              <w:spacing w:line="360" w:lineRule="auto"/>
              <w:jc w:val="center"/>
              <w:rPr>
                <w:rFonts w:hint="eastAsia" w:ascii="宋体" w:hAnsi="宋体" w:eastAsia="宋体"/>
                <w:b/>
                <w:bCs/>
                <w:szCs w:val="21"/>
              </w:rPr>
            </w:pPr>
            <w:r>
              <w:rPr>
                <w:rFonts w:hint="eastAsia" w:ascii="宋体" w:hAnsi="宋体" w:eastAsia="宋体"/>
                <w:b/>
                <w:bCs/>
                <w:szCs w:val="21"/>
              </w:rPr>
              <w:t>15</w:t>
            </w:r>
          </w:p>
        </w:tc>
      </w:tr>
      <w:tr w14:paraId="5C70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FDB7575">
            <w:pPr>
              <w:spacing w:line="360" w:lineRule="auto"/>
              <w:jc w:val="center"/>
              <w:rPr>
                <w:rFonts w:hint="eastAsia" w:ascii="宋体" w:hAnsi="宋体" w:eastAsia="宋体"/>
                <w:b/>
                <w:szCs w:val="21"/>
              </w:rPr>
            </w:pPr>
            <w:r>
              <w:rPr>
                <w:rFonts w:hint="eastAsia" w:ascii="宋体" w:hAnsi="宋体" w:eastAsia="宋体"/>
                <w:b/>
                <w:szCs w:val="21"/>
              </w:rPr>
              <w:t>2.2</w:t>
            </w:r>
          </w:p>
        </w:tc>
        <w:tc>
          <w:tcPr>
            <w:tcW w:w="1090" w:type="dxa"/>
            <w:vMerge w:val="continue"/>
            <w:vAlign w:val="center"/>
          </w:tcPr>
          <w:p w14:paraId="6135EE5B">
            <w:pPr>
              <w:spacing w:line="360" w:lineRule="auto"/>
              <w:jc w:val="center"/>
              <w:rPr>
                <w:rFonts w:hint="eastAsia" w:ascii="宋体" w:hAnsi="宋体" w:eastAsia="宋体"/>
                <w:b/>
                <w:szCs w:val="21"/>
              </w:rPr>
            </w:pPr>
          </w:p>
        </w:tc>
        <w:tc>
          <w:tcPr>
            <w:tcW w:w="1177" w:type="dxa"/>
            <w:vAlign w:val="center"/>
          </w:tcPr>
          <w:p w14:paraId="6D0605A1">
            <w:pPr>
              <w:spacing w:line="360" w:lineRule="auto"/>
              <w:jc w:val="center"/>
              <w:rPr>
                <w:rFonts w:hint="eastAsia" w:ascii="宋体" w:hAnsi="宋体" w:eastAsia="宋体"/>
                <w:b/>
                <w:szCs w:val="21"/>
              </w:rPr>
            </w:pPr>
            <w:r>
              <w:rPr>
                <w:rFonts w:hint="eastAsia" w:ascii="宋体" w:hAnsi="宋体" w:eastAsia="宋体"/>
                <w:b/>
                <w:szCs w:val="21"/>
              </w:rPr>
              <w:t>项目实施方案</w:t>
            </w:r>
          </w:p>
          <w:p w14:paraId="1B12D2E6">
            <w:pPr>
              <w:spacing w:line="360" w:lineRule="auto"/>
              <w:jc w:val="center"/>
              <w:rPr>
                <w:rFonts w:hint="eastAsia" w:ascii="宋体" w:hAnsi="宋体" w:eastAsia="宋体"/>
                <w:b/>
                <w:szCs w:val="21"/>
              </w:rPr>
            </w:pPr>
            <w:r>
              <w:rPr>
                <w:rFonts w:hint="eastAsia" w:ascii="宋体" w:hAnsi="宋体" w:eastAsia="宋体"/>
                <w:b/>
                <w:szCs w:val="21"/>
              </w:rPr>
              <w:t>（9分）</w:t>
            </w:r>
          </w:p>
        </w:tc>
        <w:tc>
          <w:tcPr>
            <w:tcW w:w="5812" w:type="dxa"/>
          </w:tcPr>
          <w:p w14:paraId="3C317A20">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提供的项目实施方案进行综合评分：</w:t>
            </w:r>
          </w:p>
          <w:p w14:paraId="5126FCC9">
            <w:pPr>
              <w:snapToGrid w:val="0"/>
              <w:spacing w:line="360" w:lineRule="auto"/>
              <w:rPr>
                <w:rFonts w:hint="eastAsia" w:ascii="宋体" w:hAnsi="宋体" w:eastAsia="宋体"/>
                <w:bCs/>
                <w:szCs w:val="21"/>
              </w:rPr>
            </w:pPr>
            <w:r>
              <w:rPr>
                <w:rFonts w:hint="eastAsia" w:ascii="宋体" w:hAnsi="宋体" w:eastAsia="宋体"/>
                <w:bCs/>
                <w:szCs w:val="21"/>
              </w:rPr>
              <w:t>结合本项目的特点，提供技术及实施方案，能够符合用户实际需求，可执行性及易实施性强</w:t>
            </w:r>
            <w:r>
              <w:rPr>
                <w:rFonts w:hint="eastAsia" w:ascii="宋体" w:hAnsi="宋体" w:eastAsia="宋体"/>
                <w:szCs w:val="21"/>
              </w:rPr>
              <w:t>的得9分；方案较全面合理，可执行性及易实施性较强的得6分；方案基本满足项目需求得3分；方案较差或未涉及不得分；</w:t>
            </w:r>
          </w:p>
        </w:tc>
        <w:tc>
          <w:tcPr>
            <w:tcW w:w="992" w:type="dxa"/>
            <w:vAlign w:val="center"/>
          </w:tcPr>
          <w:p w14:paraId="5FBC78B8">
            <w:pPr>
              <w:snapToGrid w:val="0"/>
              <w:spacing w:line="360" w:lineRule="auto"/>
              <w:jc w:val="center"/>
              <w:rPr>
                <w:rFonts w:hint="eastAsia" w:ascii="宋体" w:hAnsi="宋体" w:eastAsia="宋体"/>
                <w:b/>
                <w:szCs w:val="21"/>
              </w:rPr>
            </w:pPr>
            <w:r>
              <w:rPr>
                <w:rFonts w:hint="eastAsia" w:ascii="宋体" w:hAnsi="宋体" w:eastAsia="宋体"/>
                <w:b/>
                <w:szCs w:val="21"/>
              </w:rPr>
              <w:t>9</w:t>
            </w:r>
          </w:p>
        </w:tc>
      </w:tr>
      <w:tr w14:paraId="1D66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844752">
            <w:pPr>
              <w:spacing w:line="360" w:lineRule="auto"/>
              <w:jc w:val="center"/>
              <w:rPr>
                <w:rFonts w:hint="eastAsia" w:ascii="宋体" w:hAnsi="宋体" w:eastAsia="宋体"/>
                <w:b/>
                <w:szCs w:val="21"/>
              </w:rPr>
            </w:pPr>
            <w:r>
              <w:rPr>
                <w:rFonts w:hint="eastAsia" w:ascii="宋体" w:hAnsi="宋体" w:eastAsia="宋体"/>
                <w:b/>
                <w:szCs w:val="21"/>
              </w:rPr>
              <w:t>2.3</w:t>
            </w:r>
          </w:p>
        </w:tc>
        <w:tc>
          <w:tcPr>
            <w:tcW w:w="1090" w:type="dxa"/>
            <w:vMerge w:val="continue"/>
            <w:vAlign w:val="center"/>
          </w:tcPr>
          <w:p w14:paraId="37B0F30D">
            <w:pPr>
              <w:spacing w:line="360" w:lineRule="auto"/>
              <w:jc w:val="center"/>
              <w:rPr>
                <w:rFonts w:hint="eastAsia" w:ascii="宋体" w:hAnsi="宋体" w:eastAsia="宋体"/>
                <w:b/>
                <w:szCs w:val="21"/>
              </w:rPr>
            </w:pPr>
          </w:p>
        </w:tc>
        <w:tc>
          <w:tcPr>
            <w:tcW w:w="1177" w:type="dxa"/>
            <w:vAlign w:val="center"/>
          </w:tcPr>
          <w:p w14:paraId="1A690088">
            <w:pPr>
              <w:spacing w:line="360" w:lineRule="auto"/>
              <w:jc w:val="center"/>
              <w:rPr>
                <w:rFonts w:hint="eastAsia" w:ascii="宋体" w:hAnsi="宋体" w:eastAsia="宋体"/>
                <w:b/>
                <w:szCs w:val="21"/>
              </w:rPr>
            </w:pPr>
            <w:r>
              <w:rPr>
                <w:rFonts w:hint="eastAsia" w:ascii="宋体" w:hAnsi="宋体" w:eastAsia="宋体"/>
                <w:b/>
                <w:szCs w:val="21"/>
              </w:rPr>
              <w:t>项目管理方案（</w:t>
            </w:r>
            <w:r>
              <w:rPr>
                <w:rFonts w:ascii="宋体" w:hAnsi="宋体" w:eastAsia="宋体"/>
                <w:b/>
                <w:szCs w:val="21"/>
              </w:rPr>
              <w:t>8</w:t>
            </w:r>
            <w:r>
              <w:rPr>
                <w:rFonts w:hint="eastAsia" w:ascii="宋体" w:hAnsi="宋体" w:eastAsia="宋体"/>
                <w:b/>
                <w:szCs w:val="21"/>
              </w:rPr>
              <w:t>分）</w:t>
            </w:r>
          </w:p>
        </w:tc>
        <w:tc>
          <w:tcPr>
            <w:tcW w:w="5812" w:type="dxa"/>
          </w:tcPr>
          <w:p w14:paraId="49462DD5">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提供的项目管理方案进行综合评分：</w:t>
            </w:r>
          </w:p>
          <w:p w14:paraId="245928B6">
            <w:pPr>
              <w:snapToGrid w:val="0"/>
              <w:spacing w:line="360" w:lineRule="auto"/>
              <w:rPr>
                <w:rFonts w:hint="eastAsia" w:ascii="宋体" w:hAnsi="宋体" w:eastAsia="宋体"/>
                <w:bCs/>
                <w:szCs w:val="21"/>
              </w:rPr>
            </w:pPr>
            <w:r>
              <w:rPr>
                <w:rFonts w:hint="eastAsia" w:ascii="宋体" w:hAnsi="宋体" w:eastAsia="宋体"/>
                <w:szCs w:val="21"/>
              </w:rPr>
              <w:t>供应商针对本项目提供项目管理方案，包含但不限于项目组织、沟通管理、进度和成本控制、风险管理、范围管理等</w:t>
            </w:r>
            <w:r>
              <w:rPr>
                <w:rFonts w:hint="eastAsia" w:ascii="宋体" w:hAnsi="宋体" w:eastAsia="宋体"/>
                <w:bCs/>
                <w:szCs w:val="21"/>
              </w:rPr>
              <w:t>内容</w:t>
            </w:r>
            <w:r>
              <w:rPr>
                <w:rFonts w:hint="eastAsia" w:ascii="宋体" w:hAnsi="宋体" w:eastAsia="宋体"/>
                <w:szCs w:val="21"/>
              </w:rPr>
              <w:t>全面、科学合理、操作可行、完全契合本项目的得8分；方案较全面、较合理的得6分；方案基本满足项目需求得3分；方案较差或未涉及不得分。</w:t>
            </w:r>
          </w:p>
        </w:tc>
        <w:tc>
          <w:tcPr>
            <w:tcW w:w="992" w:type="dxa"/>
            <w:vAlign w:val="center"/>
          </w:tcPr>
          <w:p w14:paraId="0B7B89EA">
            <w:pPr>
              <w:snapToGrid w:val="0"/>
              <w:spacing w:line="360" w:lineRule="auto"/>
              <w:jc w:val="center"/>
              <w:rPr>
                <w:rFonts w:hint="eastAsia" w:ascii="宋体" w:hAnsi="宋体" w:eastAsia="宋体"/>
                <w:b/>
                <w:szCs w:val="21"/>
              </w:rPr>
            </w:pPr>
            <w:r>
              <w:rPr>
                <w:rFonts w:ascii="宋体" w:hAnsi="宋体" w:eastAsia="宋体"/>
                <w:b/>
                <w:szCs w:val="21"/>
              </w:rPr>
              <w:t>8</w:t>
            </w:r>
          </w:p>
        </w:tc>
      </w:tr>
      <w:tr w14:paraId="42F8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16A6F16">
            <w:pPr>
              <w:spacing w:line="360" w:lineRule="auto"/>
              <w:jc w:val="center"/>
              <w:rPr>
                <w:rFonts w:hint="eastAsia" w:ascii="宋体" w:hAnsi="宋体" w:eastAsia="宋体"/>
                <w:b/>
                <w:szCs w:val="21"/>
              </w:rPr>
            </w:pPr>
            <w:r>
              <w:rPr>
                <w:rFonts w:hint="eastAsia" w:ascii="宋体" w:hAnsi="宋体" w:eastAsia="宋体"/>
                <w:b/>
                <w:szCs w:val="21"/>
              </w:rPr>
              <w:t>2.4</w:t>
            </w:r>
          </w:p>
        </w:tc>
        <w:tc>
          <w:tcPr>
            <w:tcW w:w="1090" w:type="dxa"/>
            <w:vMerge w:val="continue"/>
            <w:vAlign w:val="center"/>
          </w:tcPr>
          <w:p w14:paraId="6B344A13">
            <w:pPr>
              <w:spacing w:line="360" w:lineRule="auto"/>
              <w:jc w:val="center"/>
              <w:rPr>
                <w:rFonts w:hint="eastAsia" w:ascii="宋体" w:hAnsi="宋体" w:eastAsia="宋体"/>
                <w:b/>
                <w:szCs w:val="21"/>
              </w:rPr>
            </w:pPr>
          </w:p>
        </w:tc>
        <w:tc>
          <w:tcPr>
            <w:tcW w:w="1177" w:type="dxa"/>
            <w:vAlign w:val="center"/>
          </w:tcPr>
          <w:p w14:paraId="500AA5C0">
            <w:pPr>
              <w:spacing w:line="360" w:lineRule="auto"/>
              <w:jc w:val="center"/>
              <w:rPr>
                <w:rFonts w:hint="eastAsia" w:ascii="宋体" w:hAnsi="宋体" w:eastAsia="宋体"/>
                <w:b/>
                <w:szCs w:val="21"/>
              </w:rPr>
            </w:pPr>
            <w:r>
              <w:rPr>
                <w:rFonts w:hint="eastAsia" w:ascii="宋体" w:hAnsi="宋体" w:eastAsia="宋体"/>
                <w:b/>
                <w:szCs w:val="21"/>
              </w:rPr>
              <w:t>系统安全方案</w:t>
            </w:r>
          </w:p>
          <w:p w14:paraId="43859CE1">
            <w:pPr>
              <w:spacing w:line="360" w:lineRule="auto"/>
              <w:jc w:val="center"/>
              <w:rPr>
                <w:rFonts w:hint="eastAsia" w:ascii="宋体" w:hAnsi="宋体" w:eastAsia="宋体"/>
                <w:b/>
                <w:szCs w:val="21"/>
              </w:rPr>
            </w:pPr>
            <w:r>
              <w:rPr>
                <w:rFonts w:hint="eastAsia" w:ascii="宋体" w:hAnsi="宋体" w:eastAsia="宋体"/>
                <w:b/>
                <w:szCs w:val="21"/>
              </w:rPr>
              <w:t>（</w:t>
            </w:r>
            <w:r>
              <w:rPr>
                <w:rFonts w:ascii="宋体" w:hAnsi="宋体" w:eastAsia="宋体"/>
                <w:b/>
                <w:szCs w:val="21"/>
              </w:rPr>
              <w:t>8</w:t>
            </w:r>
            <w:r>
              <w:rPr>
                <w:rFonts w:hint="eastAsia" w:ascii="宋体" w:hAnsi="宋体" w:eastAsia="宋体"/>
                <w:b/>
                <w:szCs w:val="21"/>
              </w:rPr>
              <w:t>分）</w:t>
            </w:r>
          </w:p>
        </w:tc>
        <w:tc>
          <w:tcPr>
            <w:tcW w:w="5812" w:type="dxa"/>
          </w:tcPr>
          <w:p w14:paraId="77E02D51">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提供的系统安全方案进行综合评分：</w:t>
            </w:r>
          </w:p>
          <w:p w14:paraId="6E376480">
            <w:pPr>
              <w:snapToGrid w:val="0"/>
              <w:spacing w:line="360" w:lineRule="auto"/>
              <w:rPr>
                <w:rFonts w:hint="eastAsia" w:ascii="宋体" w:hAnsi="宋体" w:eastAsia="宋体"/>
                <w:bCs/>
                <w:szCs w:val="21"/>
              </w:rPr>
            </w:pPr>
            <w:r>
              <w:rPr>
                <w:rFonts w:hint="eastAsia" w:ascii="宋体" w:hAnsi="宋体" w:eastAsia="宋体"/>
                <w:szCs w:val="21"/>
              </w:rPr>
              <w:t>供应商提供的系统安全方案</w:t>
            </w:r>
            <w:r>
              <w:rPr>
                <w:rFonts w:hint="eastAsia" w:ascii="宋体" w:hAnsi="宋体" w:eastAsia="宋体"/>
                <w:bCs/>
                <w:szCs w:val="21"/>
              </w:rPr>
              <w:t>内容</w:t>
            </w:r>
            <w:r>
              <w:rPr>
                <w:rFonts w:hint="eastAsia" w:ascii="宋体" w:hAnsi="宋体" w:eastAsia="宋体"/>
                <w:szCs w:val="21"/>
              </w:rPr>
              <w:t>全面、科学合理、操作可行、完全契合本项目的得</w:t>
            </w:r>
            <w:r>
              <w:rPr>
                <w:rFonts w:ascii="宋体" w:hAnsi="宋体" w:eastAsia="宋体"/>
                <w:szCs w:val="21"/>
              </w:rPr>
              <w:t>8</w:t>
            </w:r>
            <w:r>
              <w:rPr>
                <w:rFonts w:hint="eastAsia" w:ascii="宋体" w:hAnsi="宋体" w:eastAsia="宋体"/>
                <w:szCs w:val="21"/>
              </w:rPr>
              <w:t>分；方案较全面、较合理的得6分；方案基本满足项目需求得3分；方案较差或未涉及不得分。</w:t>
            </w:r>
          </w:p>
        </w:tc>
        <w:tc>
          <w:tcPr>
            <w:tcW w:w="992" w:type="dxa"/>
            <w:vAlign w:val="center"/>
          </w:tcPr>
          <w:p w14:paraId="5E1767E0">
            <w:pPr>
              <w:snapToGrid w:val="0"/>
              <w:spacing w:line="360" w:lineRule="auto"/>
              <w:jc w:val="center"/>
              <w:rPr>
                <w:rFonts w:hint="eastAsia" w:ascii="宋体" w:hAnsi="宋体" w:eastAsia="宋体"/>
                <w:b/>
                <w:szCs w:val="21"/>
              </w:rPr>
            </w:pPr>
            <w:r>
              <w:rPr>
                <w:rFonts w:ascii="宋体" w:hAnsi="宋体" w:eastAsia="宋体"/>
                <w:b/>
                <w:szCs w:val="21"/>
              </w:rPr>
              <w:t>8</w:t>
            </w:r>
          </w:p>
        </w:tc>
      </w:tr>
      <w:tr w14:paraId="4FC9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39FDB37">
            <w:pPr>
              <w:spacing w:line="360" w:lineRule="auto"/>
              <w:jc w:val="center"/>
              <w:rPr>
                <w:rFonts w:hint="eastAsia" w:ascii="宋体" w:hAnsi="宋体" w:eastAsia="宋体"/>
                <w:b/>
                <w:szCs w:val="21"/>
              </w:rPr>
            </w:pPr>
            <w:r>
              <w:rPr>
                <w:rFonts w:hint="eastAsia" w:ascii="宋体" w:hAnsi="宋体" w:eastAsia="宋体"/>
                <w:b/>
                <w:szCs w:val="21"/>
              </w:rPr>
              <w:t>3</w:t>
            </w:r>
          </w:p>
        </w:tc>
        <w:tc>
          <w:tcPr>
            <w:tcW w:w="1090" w:type="dxa"/>
            <w:vAlign w:val="center"/>
          </w:tcPr>
          <w:p w14:paraId="06A9AA6B">
            <w:pPr>
              <w:spacing w:line="360" w:lineRule="auto"/>
              <w:jc w:val="center"/>
              <w:rPr>
                <w:rFonts w:hint="eastAsia" w:ascii="宋体" w:hAnsi="宋体" w:eastAsia="宋体"/>
                <w:b/>
                <w:szCs w:val="21"/>
              </w:rPr>
            </w:pPr>
            <w:r>
              <w:rPr>
                <w:rFonts w:hint="eastAsia" w:ascii="宋体" w:hAnsi="宋体" w:eastAsia="宋体"/>
                <w:b/>
                <w:szCs w:val="21"/>
              </w:rPr>
              <w:t>现场演示（10分）</w:t>
            </w:r>
          </w:p>
        </w:tc>
        <w:tc>
          <w:tcPr>
            <w:tcW w:w="1177" w:type="dxa"/>
            <w:vAlign w:val="center"/>
          </w:tcPr>
          <w:p w14:paraId="35FB91C1">
            <w:pPr>
              <w:spacing w:line="360" w:lineRule="auto"/>
              <w:jc w:val="center"/>
              <w:rPr>
                <w:rFonts w:hint="eastAsia" w:ascii="宋体" w:hAnsi="宋体" w:eastAsia="宋体"/>
                <w:b/>
                <w:szCs w:val="21"/>
              </w:rPr>
            </w:pPr>
            <w:r>
              <w:rPr>
                <w:rFonts w:hint="eastAsia" w:ascii="宋体" w:hAnsi="宋体" w:eastAsia="宋体"/>
                <w:b/>
                <w:szCs w:val="21"/>
              </w:rPr>
              <w:t>演示</w:t>
            </w:r>
          </w:p>
          <w:p w14:paraId="0F136C83">
            <w:pPr>
              <w:spacing w:line="360" w:lineRule="auto"/>
              <w:jc w:val="center"/>
              <w:rPr>
                <w:rFonts w:hint="eastAsia" w:ascii="宋体" w:hAnsi="宋体" w:eastAsia="宋体"/>
                <w:b/>
                <w:szCs w:val="21"/>
              </w:rPr>
            </w:pPr>
            <w:r>
              <w:rPr>
                <w:rFonts w:hint="eastAsia" w:ascii="宋体" w:hAnsi="宋体" w:eastAsia="宋体"/>
                <w:b/>
                <w:szCs w:val="21"/>
              </w:rPr>
              <w:t>（10分）</w:t>
            </w:r>
          </w:p>
        </w:tc>
        <w:tc>
          <w:tcPr>
            <w:tcW w:w="5812" w:type="dxa"/>
          </w:tcPr>
          <w:p w14:paraId="7736976E">
            <w:pPr>
              <w:snapToGrid w:val="0"/>
              <w:spacing w:line="360" w:lineRule="auto"/>
              <w:rPr>
                <w:rFonts w:hint="eastAsia" w:ascii="宋体" w:hAnsi="宋体" w:eastAsia="宋体"/>
                <w:szCs w:val="21"/>
              </w:rPr>
            </w:pPr>
            <w:r>
              <w:rPr>
                <w:rFonts w:hint="eastAsia" w:ascii="宋体" w:hAnsi="宋体" w:eastAsia="宋体"/>
                <w:szCs w:val="21"/>
              </w:rPr>
              <w:t>供应商就所投产品进行综合现场展示，汇报说明系统的优势和特色（提供真实系统演示，若提供非真实系统、PPT、截图进行演示不得分）。</w:t>
            </w:r>
          </w:p>
          <w:p w14:paraId="045C5FDC">
            <w:pPr>
              <w:snapToGrid w:val="0"/>
              <w:spacing w:line="360" w:lineRule="auto"/>
              <w:rPr>
                <w:rFonts w:hint="eastAsia" w:ascii="宋体" w:hAnsi="宋体" w:eastAsia="宋体"/>
                <w:szCs w:val="21"/>
              </w:rPr>
            </w:pPr>
            <w:r>
              <w:rPr>
                <w:rFonts w:hint="eastAsia" w:ascii="宋体" w:hAnsi="宋体" w:eastAsia="宋体"/>
                <w:szCs w:val="21"/>
              </w:rPr>
              <w:t>各投标商需对以下功能进行演示：</w:t>
            </w:r>
          </w:p>
          <w:p w14:paraId="66D62900">
            <w:pPr>
              <w:snapToGrid w:val="0"/>
              <w:spacing w:line="360" w:lineRule="auto"/>
              <w:rPr>
                <w:rFonts w:hint="eastAsia" w:ascii="宋体" w:hAnsi="宋体" w:eastAsia="宋体"/>
                <w:szCs w:val="21"/>
              </w:rPr>
            </w:pPr>
            <w:r>
              <w:rPr>
                <w:rFonts w:hint="eastAsia" w:ascii="宋体" w:hAnsi="宋体" w:eastAsia="宋体"/>
                <w:szCs w:val="21"/>
              </w:rPr>
              <w:t>1、</w:t>
            </w:r>
            <w:r>
              <w:rPr>
                <w:rFonts w:ascii="宋体" w:hAnsi="宋体" w:eastAsia="宋体"/>
                <w:szCs w:val="21"/>
              </w:rPr>
              <w:t>入职管理</w:t>
            </w:r>
            <w:r>
              <w:rPr>
                <w:rFonts w:hint="eastAsia" w:ascii="宋体" w:hAnsi="宋体" w:eastAsia="宋体"/>
                <w:szCs w:val="21"/>
              </w:rPr>
              <w:t>（支持</w:t>
            </w:r>
            <w:r>
              <w:rPr>
                <w:rFonts w:ascii="宋体" w:hAnsi="宋体" w:eastAsia="宋体"/>
                <w:szCs w:val="21"/>
              </w:rPr>
              <w:t>管理员进行</w:t>
            </w:r>
            <w:r>
              <w:rPr>
                <w:rFonts w:hint="eastAsia" w:ascii="宋体" w:hAnsi="宋体" w:eastAsia="宋体"/>
                <w:szCs w:val="21"/>
              </w:rPr>
              <w:t>新进人员的基本信息录入，系统自动生成工号，开通系统账号及初始化密码，并通过手机端或PC端的提醒方式提醒给转单接收人，提醒方式支持微信、邮件及短信）（2分）</w:t>
            </w:r>
          </w:p>
          <w:p w14:paraId="40EFDA0A">
            <w:pPr>
              <w:snapToGrid w:val="0"/>
              <w:spacing w:line="360" w:lineRule="auto"/>
              <w:rPr>
                <w:rFonts w:hint="eastAsia" w:ascii="宋体" w:hAnsi="宋体" w:eastAsia="宋体"/>
                <w:szCs w:val="21"/>
              </w:rPr>
            </w:pPr>
            <w:r>
              <w:rPr>
                <w:rFonts w:hint="eastAsia" w:ascii="宋体" w:hAnsi="宋体" w:eastAsia="宋体"/>
                <w:szCs w:val="21"/>
              </w:rPr>
              <w:t>2、请假管理（支持请假流程化</w:t>
            </w:r>
            <w:r>
              <w:rPr>
                <w:rFonts w:ascii="宋体" w:hAnsi="宋体" w:eastAsia="宋体"/>
                <w:szCs w:val="21"/>
              </w:rPr>
              <w:t>管理</w:t>
            </w:r>
            <w:r>
              <w:rPr>
                <w:rFonts w:hint="eastAsia" w:ascii="宋体" w:hAnsi="宋体" w:eastAsia="宋体"/>
                <w:szCs w:val="21"/>
              </w:rPr>
              <w:t>，</w:t>
            </w:r>
            <w:r>
              <w:rPr>
                <w:rFonts w:ascii="宋体" w:hAnsi="宋体" w:eastAsia="宋体"/>
                <w:szCs w:val="21"/>
              </w:rPr>
              <w:t>并按照</w:t>
            </w:r>
            <w:r>
              <w:rPr>
                <w:rFonts w:hint="eastAsia" w:ascii="宋体" w:hAnsi="宋体" w:eastAsia="宋体"/>
                <w:szCs w:val="21"/>
              </w:rPr>
              <w:t>学校</w:t>
            </w:r>
            <w:r>
              <w:rPr>
                <w:rFonts w:ascii="宋体" w:hAnsi="宋体" w:eastAsia="宋体"/>
                <w:szCs w:val="21"/>
              </w:rPr>
              <w:t>考勤周期汇总</w:t>
            </w:r>
            <w:r>
              <w:rPr>
                <w:rFonts w:hint="eastAsia" w:ascii="宋体" w:hAnsi="宋体" w:eastAsia="宋体"/>
                <w:szCs w:val="21"/>
              </w:rPr>
              <w:t>至相关</w:t>
            </w:r>
            <w:r>
              <w:rPr>
                <w:rFonts w:ascii="宋体" w:hAnsi="宋体" w:eastAsia="宋体"/>
                <w:szCs w:val="21"/>
              </w:rPr>
              <w:t>管理</w:t>
            </w:r>
            <w:r>
              <w:rPr>
                <w:rFonts w:hint="eastAsia" w:ascii="宋体" w:hAnsi="宋体" w:eastAsia="宋体"/>
                <w:szCs w:val="21"/>
              </w:rPr>
              <w:t>人</w:t>
            </w:r>
            <w:r>
              <w:rPr>
                <w:rFonts w:ascii="宋体" w:hAnsi="宋体" w:eastAsia="宋体"/>
                <w:szCs w:val="21"/>
              </w:rPr>
              <w:t>员</w:t>
            </w:r>
            <w:r>
              <w:rPr>
                <w:rFonts w:hint="eastAsia" w:ascii="宋体" w:hAnsi="宋体" w:eastAsia="宋体"/>
                <w:szCs w:val="21"/>
              </w:rPr>
              <w:t>）（2分）</w:t>
            </w:r>
          </w:p>
          <w:p w14:paraId="4C8C80D5">
            <w:pPr>
              <w:snapToGrid w:val="0"/>
              <w:spacing w:line="360" w:lineRule="auto"/>
              <w:rPr>
                <w:rFonts w:hint="eastAsia" w:ascii="宋体" w:hAnsi="宋体" w:eastAsia="宋体"/>
                <w:szCs w:val="21"/>
              </w:rPr>
            </w:pPr>
            <w:r>
              <w:rPr>
                <w:rFonts w:hint="eastAsia" w:ascii="宋体" w:hAnsi="宋体" w:eastAsia="宋体"/>
                <w:szCs w:val="21"/>
              </w:rPr>
              <w:t>3、领导驾驶舱（为校领导提供“一站式”决策支持的管理信息中心平台，系统可以展现各学院、各部门的人力资源分布情况，可以自由配置出比如学历分布、年龄分布图，支持在查询结果的基础上继续查询分析。）（2分）</w:t>
            </w:r>
          </w:p>
          <w:p w14:paraId="453744FE">
            <w:pPr>
              <w:snapToGrid w:val="0"/>
              <w:spacing w:line="360" w:lineRule="auto"/>
              <w:rPr>
                <w:rFonts w:hint="eastAsia" w:ascii="宋体" w:hAnsi="宋体" w:eastAsia="宋体"/>
                <w:szCs w:val="21"/>
              </w:rPr>
            </w:pPr>
            <w:r>
              <w:rPr>
                <w:rFonts w:hint="eastAsia" w:ascii="宋体" w:hAnsi="宋体" w:eastAsia="宋体"/>
                <w:szCs w:val="21"/>
              </w:rPr>
              <w:t>4、年度</w:t>
            </w:r>
            <w:r>
              <w:rPr>
                <w:rFonts w:ascii="宋体" w:hAnsi="宋体" w:eastAsia="宋体"/>
                <w:szCs w:val="21"/>
              </w:rPr>
              <w:t>考核</w:t>
            </w:r>
            <w:r>
              <w:rPr>
                <w:rFonts w:hint="eastAsia" w:ascii="宋体" w:hAnsi="宋体" w:eastAsia="宋体"/>
                <w:szCs w:val="21"/>
              </w:rPr>
              <w:t>（实现在线年度考核信息管理。）（2分）</w:t>
            </w:r>
          </w:p>
          <w:p w14:paraId="745EA767">
            <w:pPr>
              <w:snapToGrid w:val="0"/>
              <w:spacing w:line="360" w:lineRule="auto"/>
              <w:rPr>
                <w:rFonts w:hint="eastAsia" w:ascii="宋体" w:hAnsi="宋体" w:eastAsia="宋体"/>
                <w:szCs w:val="21"/>
              </w:rPr>
            </w:pPr>
            <w:r>
              <w:rPr>
                <w:rFonts w:hint="eastAsia" w:ascii="宋体" w:hAnsi="宋体" w:eastAsia="宋体"/>
                <w:szCs w:val="21"/>
              </w:rPr>
              <w:t>5、系统内置IM（即时通讯）功能演示：支持移动端、PC端即时通讯，支持建立校内即时通讯工具，提高校内教职工沟通效率（2分）</w:t>
            </w:r>
          </w:p>
          <w:p w14:paraId="6E49002B">
            <w:pPr>
              <w:snapToGrid w:val="0"/>
              <w:spacing w:line="360" w:lineRule="auto"/>
              <w:rPr>
                <w:rFonts w:hint="eastAsia" w:ascii="宋体" w:hAnsi="宋体" w:eastAsia="宋体"/>
                <w:szCs w:val="21"/>
              </w:rPr>
            </w:pPr>
            <w:r>
              <w:rPr>
                <w:rFonts w:hint="eastAsia" w:ascii="宋体" w:hAnsi="宋体" w:eastAsia="宋体"/>
                <w:szCs w:val="21"/>
              </w:rPr>
              <w:t>注：投标供应商使用真实系统进行演示，演示时间原则上不超过 15 分钟。</w:t>
            </w:r>
          </w:p>
          <w:p w14:paraId="0198653D">
            <w:pPr>
              <w:snapToGrid w:val="0"/>
              <w:spacing w:line="360" w:lineRule="auto"/>
              <w:rPr>
                <w:rFonts w:hint="eastAsia" w:ascii="宋体" w:hAnsi="宋体" w:eastAsia="宋体"/>
                <w:szCs w:val="21"/>
              </w:rPr>
            </w:pPr>
            <w:r>
              <w:rPr>
                <w:rFonts w:hint="eastAsia" w:ascii="宋体" w:hAnsi="宋体" w:eastAsia="宋体"/>
                <w:szCs w:val="21"/>
              </w:rPr>
              <w:t>每项演示得2分，未演示或演示不完整的部分不得分，总分10分。演示人员不超过 2 人（含授权代表），现场演示设备自备。</w:t>
            </w:r>
          </w:p>
        </w:tc>
        <w:tc>
          <w:tcPr>
            <w:tcW w:w="992" w:type="dxa"/>
            <w:vAlign w:val="center"/>
          </w:tcPr>
          <w:p w14:paraId="4E709320">
            <w:pPr>
              <w:snapToGrid w:val="0"/>
              <w:spacing w:line="360" w:lineRule="auto"/>
              <w:jc w:val="center"/>
              <w:rPr>
                <w:rFonts w:hint="eastAsia" w:ascii="宋体" w:hAnsi="宋体" w:eastAsia="宋体"/>
                <w:b/>
                <w:szCs w:val="21"/>
              </w:rPr>
            </w:pPr>
            <w:r>
              <w:rPr>
                <w:rFonts w:hint="eastAsia" w:ascii="宋体" w:hAnsi="宋体" w:eastAsia="宋体"/>
                <w:b/>
                <w:szCs w:val="21"/>
              </w:rPr>
              <w:t>10</w:t>
            </w:r>
          </w:p>
        </w:tc>
      </w:tr>
      <w:tr w14:paraId="7E41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02F2002">
            <w:pPr>
              <w:widowControl/>
              <w:spacing w:line="360" w:lineRule="auto"/>
              <w:ind w:right="-24"/>
              <w:jc w:val="center"/>
              <w:rPr>
                <w:rFonts w:hint="eastAsia" w:ascii="宋体" w:hAnsi="宋体" w:eastAsia="宋体"/>
                <w:b/>
                <w:szCs w:val="21"/>
              </w:rPr>
            </w:pPr>
            <w:r>
              <w:rPr>
                <w:rFonts w:hint="eastAsia" w:ascii="宋体" w:hAnsi="宋体" w:eastAsia="宋体"/>
                <w:b/>
                <w:szCs w:val="21"/>
              </w:rPr>
              <w:t>4.1</w:t>
            </w:r>
          </w:p>
        </w:tc>
        <w:tc>
          <w:tcPr>
            <w:tcW w:w="1090" w:type="dxa"/>
            <w:vMerge w:val="restart"/>
            <w:vAlign w:val="center"/>
          </w:tcPr>
          <w:p w14:paraId="5AEBE762">
            <w:pPr>
              <w:spacing w:line="360" w:lineRule="auto"/>
              <w:jc w:val="center"/>
              <w:rPr>
                <w:rFonts w:hint="eastAsia" w:ascii="宋体" w:hAnsi="宋体" w:eastAsia="宋体"/>
                <w:b/>
                <w:szCs w:val="21"/>
              </w:rPr>
            </w:pPr>
            <w:r>
              <w:rPr>
                <w:rFonts w:hint="eastAsia" w:ascii="宋体" w:hAnsi="宋体" w:eastAsia="宋体"/>
                <w:b/>
                <w:szCs w:val="21"/>
              </w:rPr>
              <w:t>商务部分（15分）</w:t>
            </w:r>
          </w:p>
        </w:tc>
        <w:tc>
          <w:tcPr>
            <w:tcW w:w="1177" w:type="dxa"/>
            <w:vAlign w:val="center"/>
          </w:tcPr>
          <w:p w14:paraId="271881C8">
            <w:pPr>
              <w:spacing w:line="360" w:lineRule="auto"/>
              <w:jc w:val="center"/>
              <w:rPr>
                <w:rFonts w:hint="eastAsia" w:ascii="宋体" w:hAnsi="宋体" w:eastAsia="宋体"/>
                <w:szCs w:val="21"/>
              </w:rPr>
            </w:pPr>
            <w:r>
              <w:rPr>
                <w:rFonts w:hint="eastAsia" w:ascii="宋体" w:hAnsi="宋体" w:eastAsia="宋体"/>
                <w:b/>
                <w:szCs w:val="21"/>
              </w:rPr>
              <w:t>企业资质（5分）</w:t>
            </w:r>
          </w:p>
        </w:tc>
        <w:tc>
          <w:tcPr>
            <w:tcW w:w="5812" w:type="dxa"/>
            <w:vAlign w:val="center"/>
          </w:tcPr>
          <w:p w14:paraId="72378DB3">
            <w:pPr>
              <w:snapToGrid w:val="0"/>
              <w:spacing w:line="360" w:lineRule="auto"/>
              <w:rPr>
                <w:rFonts w:hint="eastAsia" w:ascii="宋体" w:hAnsi="宋体" w:eastAsia="宋体"/>
                <w:szCs w:val="21"/>
              </w:rPr>
            </w:pPr>
            <w:r>
              <w:rPr>
                <w:rFonts w:ascii="宋体" w:hAnsi="宋体" w:eastAsia="宋体"/>
                <w:szCs w:val="21"/>
              </w:rPr>
              <w:t>1</w:t>
            </w:r>
            <w:r>
              <w:rPr>
                <w:rFonts w:hint="eastAsia" w:ascii="宋体" w:hAnsi="宋体" w:eastAsia="宋体"/>
                <w:szCs w:val="21"/>
              </w:rPr>
              <w:t>、投标供应商具有同类型人事管理综合应用系统软件著作权登记证书得1分；</w:t>
            </w:r>
          </w:p>
          <w:p w14:paraId="58440722">
            <w:pPr>
              <w:snapToGrid w:val="0"/>
              <w:spacing w:line="360" w:lineRule="auto"/>
              <w:rPr>
                <w:rFonts w:hint="eastAsia" w:ascii="宋体" w:hAnsi="宋体" w:eastAsia="宋体"/>
                <w:szCs w:val="21"/>
              </w:rPr>
            </w:pPr>
            <w:r>
              <w:rPr>
                <w:rFonts w:ascii="宋体" w:hAnsi="宋体" w:eastAsia="宋体"/>
                <w:szCs w:val="21"/>
              </w:rPr>
              <w:t>2</w:t>
            </w:r>
            <w:r>
              <w:rPr>
                <w:rFonts w:hint="eastAsia" w:ascii="宋体" w:hAnsi="宋体" w:eastAsia="宋体"/>
                <w:szCs w:val="21"/>
              </w:rPr>
              <w:t>、投标供应商具有信息安全管理体系认证证书、信息技术服务管理体系认证证书，每提供</w:t>
            </w:r>
            <w:r>
              <w:rPr>
                <w:rFonts w:ascii="宋体" w:hAnsi="宋体" w:eastAsia="宋体"/>
                <w:szCs w:val="21"/>
              </w:rPr>
              <w:t>1</w:t>
            </w:r>
            <w:r>
              <w:rPr>
                <w:rFonts w:hint="eastAsia" w:ascii="宋体" w:hAnsi="宋体" w:eastAsia="宋体"/>
                <w:szCs w:val="21"/>
              </w:rPr>
              <w:t>个得1分，最高2分。</w:t>
            </w:r>
          </w:p>
          <w:p w14:paraId="44D28DF9">
            <w:pPr>
              <w:snapToGrid w:val="0"/>
              <w:spacing w:line="360" w:lineRule="auto"/>
              <w:rPr>
                <w:rFonts w:hint="eastAsia" w:ascii="宋体" w:hAnsi="宋体" w:eastAsia="宋体"/>
                <w:szCs w:val="21"/>
              </w:rPr>
            </w:pPr>
            <w:r>
              <w:rPr>
                <w:rFonts w:hint="eastAsia" w:ascii="宋体" w:hAnsi="宋体" w:eastAsia="宋体"/>
                <w:szCs w:val="21"/>
              </w:rPr>
              <w:t>3、供应商所投开发平台具备第三方权威检测机构出具的信息安全检测报告，检测报告内容包含：漏洞扫描检测内容的得1分，包含渗透检测内容的得1分；</w:t>
            </w:r>
          </w:p>
          <w:p w14:paraId="5C9D7581">
            <w:pPr>
              <w:snapToGrid w:val="0"/>
              <w:spacing w:line="360" w:lineRule="auto"/>
              <w:rPr>
                <w:rFonts w:hint="eastAsia" w:ascii="宋体" w:hAnsi="宋体" w:eastAsia="宋体"/>
                <w:szCs w:val="21"/>
              </w:rPr>
            </w:pPr>
            <w:r>
              <w:rPr>
                <w:rFonts w:hint="eastAsia" w:ascii="宋体" w:hAnsi="宋体" w:eastAsia="宋体"/>
                <w:szCs w:val="21"/>
              </w:rPr>
              <w:t>最高2分。</w:t>
            </w:r>
          </w:p>
        </w:tc>
        <w:tc>
          <w:tcPr>
            <w:tcW w:w="992" w:type="dxa"/>
            <w:vAlign w:val="center"/>
          </w:tcPr>
          <w:p w14:paraId="1FB1ACDB">
            <w:pPr>
              <w:snapToGrid w:val="0"/>
              <w:spacing w:line="360" w:lineRule="auto"/>
              <w:jc w:val="center"/>
              <w:rPr>
                <w:rFonts w:hint="eastAsia" w:ascii="宋体" w:hAnsi="宋体" w:eastAsia="宋体"/>
                <w:b/>
                <w:szCs w:val="21"/>
              </w:rPr>
            </w:pPr>
            <w:r>
              <w:rPr>
                <w:rFonts w:hint="eastAsia" w:ascii="宋体" w:hAnsi="宋体" w:eastAsia="宋体"/>
                <w:b/>
                <w:szCs w:val="21"/>
              </w:rPr>
              <w:t>5</w:t>
            </w:r>
          </w:p>
        </w:tc>
      </w:tr>
      <w:tr w14:paraId="553A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23E7AD5C">
            <w:pPr>
              <w:widowControl/>
              <w:spacing w:line="360" w:lineRule="auto"/>
              <w:ind w:right="-24"/>
              <w:jc w:val="center"/>
              <w:rPr>
                <w:rFonts w:hint="eastAsia" w:ascii="宋体" w:hAnsi="宋体" w:eastAsia="宋体"/>
                <w:b/>
                <w:szCs w:val="21"/>
              </w:rPr>
            </w:pPr>
            <w:r>
              <w:rPr>
                <w:rFonts w:hint="eastAsia" w:ascii="宋体" w:hAnsi="宋体" w:eastAsia="宋体"/>
                <w:b/>
                <w:szCs w:val="21"/>
              </w:rPr>
              <w:t>4.2</w:t>
            </w:r>
          </w:p>
        </w:tc>
        <w:tc>
          <w:tcPr>
            <w:tcW w:w="1090" w:type="dxa"/>
            <w:vMerge w:val="continue"/>
            <w:vAlign w:val="center"/>
          </w:tcPr>
          <w:p w14:paraId="09F2627D">
            <w:pPr>
              <w:spacing w:line="360" w:lineRule="auto"/>
              <w:jc w:val="center"/>
              <w:rPr>
                <w:rFonts w:hint="eastAsia" w:ascii="宋体" w:hAnsi="宋体" w:eastAsia="宋体"/>
                <w:b/>
                <w:szCs w:val="21"/>
              </w:rPr>
            </w:pPr>
          </w:p>
        </w:tc>
        <w:tc>
          <w:tcPr>
            <w:tcW w:w="1177" w:type="dxa"/>
            <w:vAlign w:val="center"/>
          </w:tcPr>
          <w:p w14:paraId="32B91480">
            <w:pPr>
              <w:spacing w:line="360" w:lineRule="auto"/>
              <w:jc w:val="center"/>
              <w:rPr>
                <w:rFonts w:hint="eastAsia" w:ascii="宋体" w:hAnsi="宋体" w:eastAsia="宋体"/>
                <w:b/>
                <w:szCs w:val="21"/>
              </w:rPr>
            </w:pPr>
            <w:r>
              <w:rPr>
                <w:rFonts w:hint="eastAsia" w:ascii="宋体" w:hAnsi="宋体" w:eastAsia="宋体"/>
                <w:b/>
                <w:szCs w:val="21"/>
              </w:rPr>
              <w:t>业绩</w:t>
            </w:r>
          </w:p>
          <w:p w14:paraId="01544A18">
            <w:pPr>
              <w:spacing w:line="360" w:lineRule="auto"/>
              <w:jc w:val="center"/>
              <w:rPr>
                <w:rFonts w:hint="eastAsia" w:ascii="宋体" w:hAnsi="宋体" w:eastAsia="宋体"/>
                <w:b/>
                <w:szCs w:val="21"/>
              </w:rPr>
            </w:pPr>
            <w:r>
              <w:rPr>
                <w:rFonts w:hint="eastAsia" w:ascii="宋体" w:hAnsi="宋体" w:eastAsia="宋体"/>
                <w:b/>
                <w:szCs w:val="21"/>
              </w:rPr>
              <w:t>（</w:t>
            </w:r>
            <w:r>
              <w:rPr>
                <w:rFonts w:ascii="宋体" w:hAnsi="宋体" w:eastAsia="宋体"/>
                <w:b/>
                <w:szCs w:val="21"/>
              </w:rPr>
              <w:t>10</w:t>
            </w:r>
            <w:r>
              <w:rPr>
                <w:rFonts w:hint="eastAsia" w:ascii="宋体" w:hAnsi="宋体" w:eastAsia="宋体"/>
                <w:b/>
                <w:szCs w:val="21"/>
              </w:rPr>
              <w:t>分）</w:t>
            </w:r>
          </w:p>
        </w:tc>
        <w:tc>
          <w:tcPr>
            <w:tcW w:w="5812" w:type="dxa"/>
            <w:vAlign w:val="center"/>
          </w:tcPr>
          <w:p w14:paraId="19AB3B29">
            <w:pPr>
              <w:widowControl/>
              <w:snapToGrid w:val="0"/>
              <w:spacing w:line="360" w:lineRule="auto"/>
              <w:rPr>
                <w:rFonts w:hint="eastAsia" w:ascii="宋体" w:hAnsi="宋体" w:eastAsia="宋体"/>
                <w:szCs w:val="21"/>
              </w:rPr>
            </w:pPr>
            <w:r>
              <w:rPr>
                <w:rFonts w:hint="eastAsia" w:ascii="宋体" w:hAnsi="宋体" w:eastAsia="宋体"/>
                <w:szCs w:val="21"/>
              </w:rPr>
              <w:t>供应商自2021年1月以来承担过同类人事管理系统项目，有一个得</w:t>
            </w:r>
            <w:r>
              <w:rPr>
                <w:rFonts w:ascii="宋体" w:hAnsi="宋体" w:eastAsia="宋体"/>
                <w:szCs w:val="21"/>
              </w:rPr>
              <w:t>2</w:t>
            </w:r>
            <w:r>
              <w:rPr>
                <w:rFonts w:hint="eastAsia" w:ascii="宋体" w:hAnsi="宋体" w:eastAsia="宋体"/>
                <w:szCs w:val="21"/>
              </w:rPr>
              <w:t>分，满分得</w:t>
            </w:r>
            <w:r>
              <w:rPr>
                <w:rFonts w:ascii="宋体" w:hAnsi="宋体" w:eastAsia="宋体"/>
                <w:szCs w:val="21"/>
              </w:rPr>
              <w:t>10</w:t>
            </w:r>
            <w:r>
              <w:rPr>
                <w:rFonts w:hint="eastAsia" w:ascii="宋体" w:hAnsi="宋体" w:eastAsia="宋体"/>
                <w:szCs w:val="21"/>
              </w:rPr>
              <w:t>分，（需提供合同复印件加盖公章，时间、内容以合同为准，若提供的合同建设清单中未能反映出相关内容，视为未提供，原件备查）</w:t>
            </w:r>
          </w:p>
        </w:tc>
        <w:tc>
          <w:tcPr>
            <w:tcW w:w="992" w:type="dxa"/>
            <w:vAlign w:val="center"/>
          </w:tcPr>
          <w:p w14:paraId="59094F76">
            <w:pPr>
              <w:snapToGrid w:val="0"/>
              <w:spacing w:line="360" w:lineRule="auto"/>
              <w:jc w:val="center"/>
              <w:rPr>
                <w:rFonts w:hint="eastAsia" w:ascii="宋体" w:hAnsi="宋体" w:eastAsia="宋体"/>
                <w:b/>
                <w:szCs w:val="21"/>
              </w:rPr>
            </w:pPr>
            <w:r>
              <w:rPr>
                <w:rFonts w:ascii="宋体" w:hAnsi="宋体" w:eastAsia="宋体"/>
                <w:b/>
                <w:szCs w:val="21"/>
              </w:rPr>
              <w:t>10</w:t>
            </w:r>
          </w:p>
        </w:tc>
      </w:tr>
      <w:tr w14:paraId="404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restart"/>
            <w:vAlign w:val="center"/>
          </w:tcPr>
          <w:p w14:paraId="3A1DA1C4">
            <w:pPr>
              <w:widowControl/>
              <w:spacing w:line="360" w:lineRule="auto"/>
              <w:ind w:right="-24"/>
              <w:jc w:val="center"/>
              <w:rPr>
                <w:rFonts w:hint="eastAsia" w:ascii="宋体" w:hAnsi="宋体" w:eastAsia="宋体"/>
                <w:b/>
                <w:szCs w:val="21"/>
              </w:rPr>
            </w:pPr>
            <w:r>
              <w:rPr>
                <w:rFonts w:hint="eastAsia" w:ascii="宋体" w:hAnsi="宋体" w:eastAsia="宋体"/>
                <w:b/>
                <w:szCs w:val="21"/>
              </w:rPr>
              <w:t>5</w:t>
            </w:r>
          </w:p>
        </w:tc>
        <w:tc>
          <w:tcPr>
            <w:tcW w:w="1090" w:type="dxa"/>
            <w:vMerge w:val="restart"/>
            <w:vAlign w:val="center"/>
          </w:tcPr>
          <w:p w14:paraId="1DD3BCA3">
            <w:pPr>
              <w:widowControl/>
              <w:spacing w:line="360" w:lineRule="auto"/>
              <w:jc w:val="center"/>
              <w:rPr>
                <w:rFonts w:hint="eastAsia" w:ascii="宋体" w:hAnsi="宋体" w:eastAsia="宋体"/>
                <w:b/>
                <w:szCs w:val="21"/>
              </w:rPr>
            </w:pPr>
            <w:r>
              <w:rPr>
                <w:rFonts w:hint="eastAsia" w:ascii="宋体" w:hAnsi="宋体" w:eastAsia="宋体"/>
                <w:b/>
                <w:szCs w:val="21"/>
              </w:rPr>
              <w:t>售后服务部分（5分）</w:t>
            </w:r>
          </w:p>
        </w:tc>
        <w:tc>
          <w:tcPr>
            <w:tcW w:w="1177" w:type="dxa"/>
            <w:vAlign w:val="center"/>
          </w:tcPr>
          <w:p w14:paraId="5EF88A49">
            <w:pPr>
              <w:widowControl/>
              <w:spacing w:line="360" w:lineRule="auto"/>
              <w:jc w:val="center"/>
              <w:rPr>
                <w:rFonts w:hint="eastAsia" w:ascii="宋体" w:hAnsi="宋体" w:eastAsia="宋体"/>
                <w:b/>
                <w:szCs w:val="21"/>
              </w:rPr>
            </w:pPr>
            <w:r>
              <w:rPr>
                <w:rFonts w:hint="eastAsia" w:ascii="宋体" w:hAnsi="宋体" w:eastAsia="宋体"/>
                <w:b/>
                <w:szCs w:val="21"/>
              </w:rPr>
              <w:t>售后服务方案</w:t>
            </w:r>
          </w:p>
          <w:p w14:paraId="7FDE00E3">
            <w:pPr>
              <w:widowControl/>
              <w:spacing w:line="360" w:lineRule="auto"/>
              <w:jc w:val="center"/>
              <w:rPr>
                <w:rFonts w:hint="eastAsia" w:ascii="宋体" w:hAnsi="宋体" w:eastAsia="宋体"/>
                <w:b/>
                <w:szCs w:val="21"/>
              </w:rPr>
            </w:pPr>
            <w:r>
              <w:rPr>
                <w:rFonts w:hint="eastAsia" w:ascii="宋体" w:hAnsi="宋体" w:eastAsia="宋体"/>
                <w:b/>
                <w:szCs w:val="21"/>
              </w:rPr>
              <w:t>（3分）</w:t>
            </w:r>
          </w:p>
        </w:tc>
        <w:tc>
          <w:tcPr>
            <w:tcW w:w="5812" w:type="dxa"/>
          </w:tcPr>
          <w:p w14:paraId="02D4F3AA">
            <w:pPr>
              <w:snapToGrid w:val="0"/>
              <w:spacing w:line="360" w:lineRule="auto"/>
              <w:rPr>
                <w:rFonts w:hint="eastAsia" w:ascii="宋体" w:hAnsi="宋体" w:eastAsia="宋体"/>
                <w:szCs w:val="21"/>
              </w:rPr>
            </w:pPr>
            <w:r>
              <w:rPr>
                <w:rFonts w:hint="eastAsia" w:ascii="宋体" w:hAnsi="宋体" w:eastAsia="宋体"/>
                <w:szCs w:val="21"/>
              </w:rPr>
              <w:t>评委根据供应商提供的售后服务方案（包含产品质量保证计划、技术及实施服务类人员配备、实施方案、产品出现质量问题的响应、产品出现质量问题的处理方案等）进行综合评分：</w:t>
            </w:r>
          </w:p>
          <w:p w14:paraId="3E946326">
            <w:pPr>
              <w:snapToGrid w:val="0"/>
              <w:spacing w:line="360" w:lineRule="auto"/>
              <w:rPr>
                <w:rFonts w:hint="eastAsia" w:ascii="宋体" w:hAnsi="宋体" w:eastAsia="宋体"/>
                <w:szCs w:val="21"/>
              </w:rPr>
            </w:pPr>
            <w:r>
              <w:rPr>
                <w:rFonts w:ascii="宋体" w:hAnsi="宋体" w:eastAsia="宋体"/>
                <w:szCs w:val="21"/>
              </w:rPr>
              <w:t>提供详细的售后服务方案，具备完善的售后服务体系</w:t>
            </w:r>
            <w:r>
              <w:rPr>
                <w:rFonts w:hint="eastAsia" w:ascii="宋体" w:hAnsi="宋体" w:eastAsia="宋体"/>
                <w:szCs w:val="21"/>
              </w:rPr>
              <w:t>得3分；售后服务方案较为详细、具备较好售后服务体系得2分；售后服务方案基本满足项目需求、具备基本售后服务体系得1分；未提供不得分。</w:t>
            </w:r>
          </w:p>
        </w:tc>
        <w:tc>
          <w:tcPr>
            <w:tcW w:w="992" w:type="dxa"/>
            <w:vAlign w:val="center"/>
          </w:tcPr>
          <w:p w14:paraId="5DAC90F5">
            <w:pPr>
              <w:snapToGrid w:val="0"/>
              <w:spacing w:line="360" w:lineRule="auto"/>
              <w:jc w:val="center"/>
              <w:rPr>
                <w:rFonts w:hint="eastAsia" w:ascii="宋体" w:hAnsi="宋体" w:eastAsia="宋体"/>
                <w:b/>
                <w:szCs w:val="21"/>
              </w:rPr>
            </w:pPr>
            <w:r>
              <w:rPr>
                <w:rFonts w:hint="eastAsia" w:ascii="宋体" w:hAnsi="宋体" w:eastAsia="宋体"/>
                <w:b/>
                <w:szCs w:val="21"/>
              </w:rPr>
              <w:t>3</w:t>
            </w:r>
          </w:p>
        </w:tc>
      </w:tr>
      <w:tr w14:paraId="6810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continue"/>
            <w:vAlign w:val="center"/>
          </w:tcPr>
          <w:p w14:paraId="1C171E51">
            <w:pPr>
              <w:widowControl/>
              <w:spacing w:line="360" w:lineRule="auto"/>
              <w:ind w:right="-24"/>
              <w:jc w:val="center"/>
              <w:rPr>
                <w:rFonts w:hint="eastAsia" w:ascii="宋体" w:hAnsi="宋体" w:eastAsia="宋体"/>
                <w:b/>
                <w:szCs w:val="21"/>
              </w:rPr>
            </w:pPr>
          </w:p>
        </w:tc>
        <w:tc>
          <w:tcPr>
            <w:tcW w:w="1090" w:type="dxa"/>
            <w:vMerge w:val="continue"/>
            <w:vAlign w:val="center"/>
          </w:tcPr>
          <w:p w14:paraId="3DF2D7E0">
            <w:pPr>
              <w:widowControl/>
              <w:spacing w:line="360" w:lineRule="auto"/>
              <w:jc w:val="center"/>
              <w:rPr>
                <w:rFonts w:hint="eastAsia" w:ascii="宋体" w:hAnsi="宋体" w:eastAsia="宋体"/>
                <w:b/>
                <w:szCs w:val="21"/>
              </w:rPr>
            </w:pPr>
          </w:p>
        </w:tc>
        <w:tc>
          <w:tcPr>
            <w:tcW w:w="1177" w:type="dxa"/>
            <w:vAlign w:val="center"/>
          </w:tcPr>
          <w:p w14:paraId="28508D09">
            <w:pPr>
              <w:widowControl/>
              <w:spacing w:line="360" w:lineRule="auto"/>
              <w:jc w:val="center"/>
              <w:rPr>
                <w:rFonts w:hint="eastAsia" w:ascii="宋体" w:hAnsi="宋体" w:eastAsia="宋体"/>
                <w:b/>
                <w:szCs w:val="21"/>
              </w:rPr>
            </w:pPr>
            <w:r>
              <w:rPr>
                <w:rFonts w:hint="eastAsia" w:ascii="宋体" w:hAnsi="宋体" w:eastAsia="宋体"/>
                <w:b/>
                <w:szCs w:val="21"/>
              </w:rPr>
              <w:t>培训方案（2分）</w:t>
            </w:r>
          </w:p>
        </w:tc>
        <w:tc>
          <w:tcPr>
            <w:tcW w:w="5812" w:type="dxa"/>
          </w:tcPr>
          <w:p w14:paraId="4DB33EE5">
            <w:pPr>
              <w:snapToGrid w:val="0"/>
              <w:spacing w:line="360" w:lineRule="auto"/>
              <w:rPr>
                <w:rFonts w:hint="eastAsia" w:ascii="宋体" w:hAnsi="宋体" w:eastAsia="宋体"/>
                <w:szCs w:val="21"/>
              </w:rPr>
            </w:pPr>
            <w:r>
              <w:rPr>
                <w:rFonts w:hint="eastAsia" w:ascii="宋体" w:hAnsi="宋体" w:eastAsia="宋体"/>
                <w:szCs w:val="21"/>
              </w:rPr>
              <w:t xml:space="preserve">培训方案及计划合理可行，内容详细，得 2分； </w:t>
            </w:r>
          </w:p>
          <w:p w14:paraId="353F51E2">
            <w:pPr>
              <w:snapToGrid w:val="0"/>
              <w:spacing w:line="360" w:lineRule="auto"/>
              <w:rPr>
                <w:rFonts w:hint="eastAsia" w:ascii="宋体" w:hAnsi="宋体" w:eastAsia="宋体"/>
                <w:szCs w:val="21"/>
              </w:rPr>
            </w:pPr>
            <w:r>
              <w:rPr>
                <w:rFonts w:hint="eastAsia" w:ascii="宋体" w:hAnsi="宋体" w:eastAsia="宋体"/>
                <w:szCs w:val="21"/>
              </w:rPr>
              <w:t>培训方案及计划可行性一般，内容详实程度不充分：1分;不提供不得分。</w:t>
            </w:r>
          </w:p>
        </w:tc>
        <w:tc>
          <w:tcPr>
            <w:tcW w:w="992" w:type="dxa"/>
            <w:vAlign w:val="center"/>
          </w:tcPr>
          <w:p w14:paraId="59352D1B">
            <w:pPr>
              <w:snapToGrid w:val="0"/>
              <w:spacing w:line="360" w:lineRule="auto"/>
              <w:jc w:val="center"/>
              <w:rPr>
                <w:rFonts w:hint="eastAsia" w:ascii="宋体" w:hAnsi="宋体" w:eastAsia="宋体"/>
                <w:b/>
                <w:szCs w:val="21"/>
              </w:rPr>
            </w:pPr>
            <w:r>
              <w:rPr>
                <w:rFonts w:hint="eastAsia" w:ascii="宋体" w:hAnsi="宋体" w:eastAsia="宋体"/>
                <w:b/>
                <w:szCs w:val="21"/>
              </w:rPr>
              <w:t>2</w:t>
            </w:r>
          </w:p>
        </w:tc>
      </w:tr>
      <w:tr w14:paraId="7FE3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57183BE">
            <w:pPr>
              <w:widowControl/>
              <w:spacing w:line="360" w:lineRule="auto"/>
              <w:jc w:val="center"/>
              <w:rPr>
                <w:rFonts w:hint="eastAsia" w:ascii="宋体" w:hAnsi="宋体" w:eastAsia="宋体"/>
                <w:b/>
                <w:bCs/>
                <w:szCs w:val="21"/>
              </w:rPr>
            </w:pPr>
          </w:p>
        </w:tc>
        <w:tc>
          <w:tcPr>
            <w:tcW w:w="8079" w:type="dxa"/>
            <w:gridSpan w:val="3"/>
            <w:vAlign w:val="center"/>
          </w:tcPr>
          <w:p w14:paraId="3ED7D7E1">
            <w:pPr>
              <w:widowControl/>
              <w:spacing w:line="360" w:lineRule="auto"/>
              <w:jc w:val="center"/>
              <w:rPr>
                <w:rFonts w:hint="eastAsia" w:ascii="宋体" w:hAnsi="宋体" w:eastAsia="宋体"/>
                <w:szCs w:val="21"/>
              </w:rPr>
            </w:pPr>
            <w:r>
              <w:rPr>
                <w:rFonts w:hint="eastAsia" w:ascii="宋体" w:hAnsi="宋体" w:eastAsia="宋体"/>
                <w:b/>
                <w:bCs/>
                <w:szCs w:val="21"/>
              </w:rPr>
              <w:t>合计分值</w:t>
            </w:r>
          </w:p>
        </w:tc>
        <w:tc>
          <w:tcPr>
            <w:tcW w:w="992" w:type="dxa"/>
            <w:vAlign w:val="center"/>
          </w:tcPr>
          <w:p w14:paraId="7981B3FE">
            <w:pPr>
              <w:widowControl/>
              <w:spacing w:line="360" w:lineRule="auto"/>
              <w:jc w:val="center"/>
              <w:rPr>
                <w:rFonts w:hint="eastAsia" w:ascii="宋体" w:hAnsi="宋体" w:eastAsia="宋体"/>
                <w:b/>
                <w:bCs/>
                <w:szCs w:val="21"/>
              </w:rPr>
            </w:pPr>
            <w:r>
              <w:rPr>
                <w:rFonts w:hint="eastAsia" w:ascii="宋体" w:hAnsi="宋体" w:eastAsia="宋体"/>
                <w:b/>
                <w:bCs/>
                <w:szCs w:val="21"/>
              </w:rPr>
              <w:t>100</w:t>
            </w:r>
          </w:p>
        </w:tc>
      </w:tr>
    </w:tbl>
    <w:p w14:paraId="489C5048">
      <w:pPr>
        <w:spacing w:line="360" w:lineRule="auto"/>
        <w:rPr>
          <w:rFonts w:hint="eastAsia" w:ascii="宋体" w:hAnsi="宋体" w:eastAsia="宋体" w:cs="Times New Roman"/>
          <w:b/>
          <w:bCs/>
          <w:sz w:val="24"/>
          <w:szCs w:val="24"/>
        </w:rPr>
      </w:pPr>
    </w:p>
    <w:p w14:paraId="30307CE3">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8" w:name="_Toc179553570"/>
      <w:bookmarkStart w:id="9" w:name="_Toc48546591"/>
      <w:bookmarkStart w:id="10" w:name="_Toc65592703"/>
      <w:r>
        <w:rPr>
          <w:rFonts w:hint="eastAsia" w:ascii="宋体" w:hAnsi="宋体" w:eastAsia="宋体" w:cs="宋体"/>
          <w:b/>
          <w:bCs/>
          <w:kern w:val="0"/>
          <w:sz w:val="36"/>
          <w:szCs w:val="36"/>
        </w:rPr>
        <w:t xml:space="preserve">第四章 </w:t>
      </w:r>
      <w:bookmarkEnd w:id="8"/>
      <w:bookmarkEnd w:id="9"/>
      <w:bookmarkEnd w:id="10"/>
      <w:r>
        <w:rPr>
          <w:rFonts w:hint="eastAsia" w:ascii="宋体" w:hAnsi="宋体" w:eastAsia="宋体" w:cs="宋体"/>
          <w:b/>
          <w:bCs/>
          <w:kern w:val="0"/>
          <w:sz w:val="36"/>
          <w:szCs w:val="36"/>
        </w:rPr>
        <w:t>采购项目需求</w:t>
      </w:r>
    </w:p>
    <w:p w14:paraId="4F33EE0D">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项目名称：</w:t>
      </w:r>
      <w:r>
        <w:rPr>
          <w:rFonts w:hint="eastAsia" w:ascii="宋体" w:hAnsi="宋体" w:eastAsia="宋体"/>
          <w:sz w:val="24"/>
          <w:szCs w:val="24"/>
        </w:rPr>
        <w:t>南京审计大学金审学院人事管理综合应用系统项目</w:t>
      </w:r>
    </w:p>
    <w:p w14:paraId="16403D8B">
      <w:pPr>
        <w:adjustRightInd w:val="0"/>
        <w:snapToGrid w:val="0"/>
        <w:spacing w:line="360" w:lineRule="auto"/>
        <w:ind w:firstLine="482" w:firstLineChars="200"/>
        <w:rPr>
          <w:rFonts w:hint="eastAsia" w:ascii="宋体" w:hAnsi="宋体" w:eastAsia="宋体"/>
          <w:b/>
          <w:bCs/>
          <w:sz w:val="24"/>
          <w:szCs w:val="24"/>
        </w:rPr>
      </w:pPr>
      <w:bookmarkStart w:id="11" w:name="_Toc475821097"/>
      <w:bookmarkStart w:id="12" w:name="_Toc18320"/>
      <w:r>
        <w:rPr>
          <w:rFonts w:hint="eastAsia" w:ascii="宋体" w:hAnsi="宋体" w:eastAsia="宋体"/>
          <w:b/>
          <w:bCs/>
          <w:sz w:val="24"/>
          <w:szCs w:val="24"/>
        </w:rPr>
        <w:t>一、</w:t>
      </w:r>
      <w:bookmarkEnd w:id="11"/>
      <w:bookmarkEnd w:id="12"/>
      <w:bookmarkStart w:id="13" w:name="_Toc28929"/>
      <w:bookmarkStart w:id="14" w:name="_Toc22649"/>
      <w:r>
        <w:rPr>
          <w:rFonts w:hint="eastAsia" w:ascii="宋体" w:hAnsi="宋体" w:eastAsia="宋体"/>
          <w:b/>
          <w:bCs/>
          <w:sz w:val="24"/>
          <w:szCs w:val="24"/>
        </w:rPr>
        <w:t>建设目标</w:t>
      </w:r>
      <w:bookmarkEnd w:id="13"/>
      <w:bookmarkEnd w:id="14"/>
    </w:p>
    <w:p w14:paraId="3985C8A6">
      <w:pPr>
        <w:adjustRightInd w:val="0"/>
        <w:snapToGrid w:val="0"/>
        <w:spacing w:line="360" w:lineRule="auto"/>
        <w:ind w:firstLine="480" w:firstLineChars="200"/>
        <w:rPr>
          <w:rFonts w:hint="eastAsia" w:ascii="宋体" w:hAnsi="宋体" w:eastAsia="宋体"/>
          <w:sz w:val="24"/>
          <w:szCs w:val="24"/>
        </w:rPr>
      </w:pPr>
      <w:bookmarkStart w:id="15" w:name="_Toc23147"/>
      <w:bookmarkStart w:id="16" w:name="_Toc475821098"/>
      <w:bookmarkStart w:id="17" w:name="_Toc31979"/>
      <w:bookmarkStart w:id="18" w:name="_Toc22705"/>
      <w:r>
        <w:rPr>
          <w:rFonts w:hint="eastAsia" w:ascii="宋体" w:hAnsi="宋体" w:eastAsia="宋体"/>
          <w:sz w:val="24"/>
          <w:szCs w:val="24"/>
        </w:rPr>
        <w:t>根据学校智慧校园整体规划，实现人事：日常业务、组织机构、人员档案、人事关系、培训、薪酬、绩效考核等内容的信息化管理，利用信息技术实现教职工发展管理，实现数据共享化、流程信息化、管理智能化和规范化，提升工作效率，激发教职工积极性。</w:t>
      </w:r>
    </w:p>
    <w:p w14:paraId="5C6F6943">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二、技术路线</w:t>
      </w:r>
      <w:bookmarkEnd w:id="15"/>
      <w:bookmarkEnd w:id="16"/>
      <w:bookmarkEnd w:id="17"/>
      <w:bookmarkEnd w:id="18"/>
    </w:p>
    <w:p w14:paraId="39260AD4">
      <w:pPr>
        <w:adjustRightInd w:val="0"/>
        <w:snapToGrid w:val="0"/>
        <w:spacing w:line="360" w:lineRule="auto"/>
        <w:ind w:firstLine="480" w:firstLineChars="200"/>
        <w:rPr>
          <w:rFonts w:hint="eastAsia" w:ascii="宋体" w:hAnsi="宋体" w:eastAsia="宋体"/>
          <w:sz w:val="24"/>
          <w:szCs w:val="24"/>
        </w:rPr>
      </w:pPr>
      <w:bookmarkStart w:id="19" w:name="_Toc28802"/>
      <w:bookmarkStart w:id="20" w:name="_Toc27626"/>
      <w:bookmarkStart w:id="21" w:name="_Toc20683"/>
      <w:r>
        <w:rPr>
          <w:rFonts w:ascii="宋体" w:hAnsi="宋体" w:eastAsia="宋体"/>
          <w:sz w:val="24"/>
          <w:szCs w:val="24"/>
        </w:rPr>
        <w:t>投标方提供的平台和系统均要求采用B/S结构，</w:t>
      </w:r>
      <w:r>
        <w:rPr>
          <w:rFonts w:hint="eastAsia" w:ascii="宋体" w:hAnsi="宋体" w:eastAsia="宋体"/>
          <w:sz w:val="24"/>
          <w:szCs w:val="24"/>
        </w:rPr>
        <w:t>除支持Windows、Oracle等国际操作系统和数据库之外，还可支持全面国产化硬件、系统和数据库。平台需具备强大的引擎支撑能力、面向完全独立的轻应用构建、强大的API接口开放能力、丰富的后端SDK开发包支持等，</w:t>
      </w:r>
      <w:r>
        <w:rPr>
          <w:rFonts w:ascii="宋体" w:hAnsi="宋体" w:eastAsia="宋体"/>
          <w:sz w:val="24"/>
          <w:szCs w:val="24"/>
        </w:rPr>
        <w:t>具体要求如下：</w:t>
      </w:r>
    </w:p>
    <w:p w14:paraId="02D7D197">
      <w:pPr>
        <w:numPr>
          <w:ilvl w:val="0"/>
          <w:numId w:val="7"/>
        </w:num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系统平台需支持全面</w:t>
      </w:r>
      <w:r>
        <w:rPr>
          <w:rFonts w:hint="eastAsia" w:ascii="宋体" w:hAnsi="宋体" w:eastAsia="宋体"/>
          <w:b/>
          <w:bCs/>
          <w:sz w:val="24"/>
          <w:szCs w:val="24"/>
        </w:rPr>
        <w:t>国产化</w:t>
      </w:r>
      <w:r>
        <w:rPr>
          <w:rFonts w:hint="eastAsia" w:ascii="宋体" w:hAnsi="宋体" w:eastAsia="宋体"/>
          <w:sz w:val="24"/>
          <w:szCs w:val="24"/>
        </w:rPr>
        <w:t>运行环境：</w:t>
      </w:r>
    </w:p>
    <w:p w14:paraId="7EFE9D65">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系统具有多层级的权限管控体系，可以从角色、功能模块、数据等维度进行细粒度的权限管控</w:t>
      </w:r>
      <w:r>
        <w:rPr>
          <w:rFonts w:ascii="宋体" w:hAnsi="宋体" w:eastAsia="宋体"/>
          <w:sz w:val="24"/>
          <w:szCs w:val="24"/>
        </w:rPr>
        <w:t>。</w:t>
      </w:r>
    </w:p>
    <w:p w14:paraId="08E92142">
      <w:pPr>
        <w:adjustRightInd w:val="0"/>
        <w:snapToGrid w:val="0"/>
        <w:spacing w:line="360" w:lineRule="auto"/>
        <w:ind w:firstLine="240" w:firstLineChars="100"/>
        <w:rPr>
          <w:rFonts w:hint="eastAsia" w:ascii="宋体" w:hAnsi="宋体" w:eastAsia="宋体"/>
          <w:b/>
          <w:bCs/>
          <w:sz w:val="24"/>
          <w:szCs w:val="24"/>
        </w:rPr>
      </w:pPr>
      <w:r>
        <w:rPr>
          <w:rFonts w:hint="eastAsia" w:ascii="宋体" w:hAnsi="宋体" w:eastAsia="宋体"/>
          <w:sz w:val="24"/>
          <w:szCs w:val="24"/>
        </w:rPr>
        <w:t>三、</w:t>
      </w:r>
      <w:bookmarkStart w:id="22" w:name="_Toc23523"/>
      <w:r>
        <w:rPr>
          <w:rFonts w:hint="eastAsia" w:ascii="宋体" w:hAnsi="宋体" w:eastAsia="宋体"/>
          <w:b/>
          <w:bCs/>
          <w:sz w:val="24"/>
          <w:szCs w:val="24"/>
        </w:rPr>
        <w:t>安全要求</w:t>
      </w:r>
      <w:bookmarkEnd w:id="22"/>
    </w:p>
    <w:p w14:paraId="72AD944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认证</w:t>
      </w:r>
      <w:r>
        <w:rPr>
          <w:rFonts w:hint="eastAsia" w:ascii="宋体" w:hAnsi="宋体" w:eastAsia="宋体"/>
          <w:sz w:val="24"/>
          <w:szCs w:val="24"/>
        </w:rPr>
        <w:t>安全</w:t>
      </w:r>
      <w:r>
        <w:rPr>
          <w:rFonts w:ascii="宋体" w:hAnsi="宋体" w:eastAsia="宋体"/>
          <w:sz w:val="24"/>
          <w:szCs w:val="24"/>
        </w:rPr>
        <w:t>：</w:t>
      </w:r>
      <w:r>
        <w:rPr>
          <w:rFonts w:hint="eastAsia" w:ascii="宋体" w:hAnsi="宋体" w:eastAsia="宋体"/>
          <w:sz w:val="24"/>
          <w:szCs w:val="24"/>
        </w:rPr>
        <w:t>系统支持用户名+密码认证、扫码认证、硬件USB-KEY等方式认证，并可设置密码复杂度、有效期等密码安全规则，提高系统认证安全</w:t>
      </w:r>
    </w:p>
    <w:p w14:paraId="081F3813">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2.数据信息安全</w:t>
      </w:r>
      <w:r>
        <w:rPr>
          <w:rFonts w:ascii="宋体" w:hAnsi="宋体" w:eastAsia="宋体"/>
          <w:sz w:val="24"/>
          <w:szCs w:val="24"/>
        </w:rPr>
        <w:t>：</w:t>
      </w:r>
      <w:r>
        <w:rPr>
          <w:rFonts w:hint="eastAsia" w:ascii="宋体" w:hAnsi="宋体" w:eastAsia="宋体"/>
          <w:sz w:val="24"/>
          <w:szCs w:val="24"/>
        </w:rPr>
        <w:t>采用先进加密机制，对数据传输、敏感数据进行加密</w:t>
      </w:r>
      <w:r>
        <w:rPr>
          <w:rFonts w:ascii="宋体" w:hAnsi="宋体" w:eastAsia="宋体"/>
          <w:sz w:val="24"/>
          <w:szCs w:val="24"/>
        </w:rPr>
        <w:t>。</w:t>
      </w:r>
    </w:p>
    <w:p w14:paraId="30B6EC2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w:t>
      </w:r>
      <w:r>
        <w:rPr>
          <w:rFonts w:ascii="宋体" w:hAnsi="宋体" w:eastAsia="宋体"/>
          <w:sz w:val="24"/>
          <w:szCs w:val="24"/>
        </w:rPr>
        <w:t>数据完整性：</w:t>
      </w:r>
      <w:r>
        <w:rPr>
          <w:rFonts w:hint="eastAsia" w:ascii="宋体" w:hAnsi="宋体" w:eastAsia="宋体"/>
          <w:sz w:val="24"/>
          <w:szCs w:val="24"/>
        </w:rPr>
        <w:t>系统具有校验机制，保障系统中存储的数据完整可靠。</w:t>
      </w:r>
    </w:p>
    <w:p w14:paraId="748F2175">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4.系统升级</w:t>
      </w:r>
      <w:r>
        <w:rPr>
          <w:rFonts w:ascii="宋体" w:hAnsi="宋体" w:eastAsia="宋体"/>
          <w:sz w:val="24"/>
          <w:szCs w:val="24"/>
        </w:rPr>
        <w:t>：</w:t>
      </w:r>
      <w:r>
        <w:rPr>
          <w:rFonts w:hint="eastAsia" w:ascii="宋体" w:hAnsi="宋体" w:eastAsia="宋体"/>
          <w:sz w:val="24"/>
          <w:szCs w:val="24"/>
        </w:rPr>
        <w:t>系统具有日志中心，提供从系统层面、内容层面、流程层面等全方位的日志记录，以便高效运维和问题审计。</w:t>
      </w:r>
    </w:p>
    <w:p w14:paraId="32037EA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数据备份：利用数据库的备份功能将建设的平台和系统数据备份到指定的服务器或存储系统上。</w:t>
      </w:r>
    </w:p>
    <w:p w14:paraId="4B1F0EA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w:t>
      </w:r>
      <w:r>
        <w:rPr>
          <w:rFonts w:ascii="宋体" w:hAnsi="宋体" w:eastAsia="宋体"/>
          <w:sz w:val="24"/>
          <w:szCs w:val="24"/>
        </w:rPr>
        <w:t>要求投标方需从物理安全、网络安全、</w:t>
      </w:r>
      <w:r>
        <w:rPr>
          <w:rFonts w:hint="eastAsia" w:ascii="宋体" w:hAnsi="宋体" w:eastAsia="宋体"/>
          <w:sz w:val="24"/>
          <w:szCs w:val="24"/>
        </w:rPr>
        <w:t>服务器安全、</w:t>
      </w:r>
      <w:r>
        <w:rPr>
          <w:rFonts w:ascii="宋体" w:hAnsi="宋体" w:eastAsia="宋体"/>
          <w:sz w:val="24"/>
          <w:szCs w:val="24"/>
        </w:rPr>
        <w:t>系统</w:t>
      </w:r>
      <w:r>
        <w:rPr>
          <w:rFonts w:hint="eastAsia" w:ascii="宋体" w:hAnsi="宋体" w:eastAsia="宋体"/>
          <w:sz w:val="24"/>
          <w:szCs w:val="24"/>
        </w:rPr>
        <w:t>访问</w:t>
      </w:r>
      <w:r>
        <w:rPr>
          <w:rFonts w:ascii="宋体" w:hAnsi="宋体" w:eastAsia="宋体"/>
          <w:sz w:val="24"/>
          <w:szCs w:val="24"/>
        </w:rPr>
        <w:t>安全、</w:t>
      </w:r>
      <w:r>
        <w:rPr>
          <w:rFonts w:hint="eastAsia" w:ascii="宋体" w:hAnsi="宋体" w:eastAsia="宋体"/>
          <w:sz w:val="24"/>
          <w:szCs w:val="24"/>
        </w:rPr>
        <w:t>系统业务应用安全</w:t>
      </w:r>
      <w:r>
        <w:rPr>
          <w:rFonts w:ascii="宋体" w:hAnsi="宋体" w:eastAsia="宋体"/>
          <w:sz w:val="24"/>
          <w:szCs w:val="24"/>
        </w:rPr>
        <w:t>、</w:t>
      </w:r>
      <w:r>
        <w:rPr>
          <w:rFonts w:hint="eastAsia" w:ascii="宋体" w:hAnsi="宋体" w:eastAsia="宋体"/>
          <w:sz w:val="24"/>
          <w:szCs w:val="24"/>
        </w:rPr>
        <w:t>数据</w:t>
      </w:r>
      <w:r>
        <w:rPr>
          <w:rFonts w:ascii="宋体" w:hAnsi="宋体" w:eastAsia="宋体"/>
          <w:sz w:val="24"/>
          <w:szCs w:val="24"/>
        </w:rPr>
        <w:t>安全</w:t>
      </w:r>
      <w:r>
        <w:rPr>
          <w:rFonts w:hint="eastAsia" w:ascii="宋体" w:hAnsi="宋体" w:eastAsia="宋体"/>
          <w:sz w:val="24"/>
          <w:szCs w:val="24"/>
        </w:rPr>
        <w:t>、接口安全</w:t>
      </w:r>
      <w:r>
        <w:rPr>
          <w:rFonts w:ascii="宋体" w:hAnsi="宋体" w:eastAsia="宋体"/>
          <w:sz w:val="24"/>
          <w:szCs w:val="24"/>
        </w:rPr>
        <w:t>等几个方面提出</w:t>
      </w:r>
      <w:r>
        <w:rPr>
          <w:rFonts w:hint="eastAsia" w:ascii="宋体" w:hAnsi="宋体" w:eastAsia="宋体"/>
          <w:sz w:val="24"/>
          <w:szCs w:val="24"/>
        </w:rPr>
        <w:t>完善的系统设计方案。</w:t>
      </w:r>
    </w:p>
    <w:p w14:paraId="01822724">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四、项目建设</w:t>
      </w:r>
      <w:bookmarkEnd w:id="19"/>
      <w:bookmarkEnd w:id="20"/>
      <w:bookmarkEnd w:id="21"/>
      <w:r>
        <w:rPr>
          <w:rFonts w:hint="eastAsia" w:ascii="宋体" w:hAnsi="宋体" w:eastAsia="宋体"/>
          <w:b/>
          <w:bCs/>
          <w:sz w:val="24"/>
          <w:szCs w:val="24"/>
        </w:rPr>
        <w:t>内容</w:t>
      </w:r>
    </w:p>
    <w:p w14:paraId="792436F6">
      <w:pPr>
        <w:adjustRightInd w:val="0"/>
        <w:snapToGrid w:val="0"/>
        <w:spacing w:line="360" w:lineRule="auto"/>
        <w:ind w:left="692" w:leftChars="100" w:hanging="482" w:hangingChars="200"/>
        <w:rPr>
          <w:rFonts w:hint="eastAsia" w:ascii="宋体" w:hAnsi="宋体" w:eastAsia="宋体"/>
          <w:sz w:val="24"/>
          <w:szCs w:val="24"/>
        </w:rPr>
      </w:pPr>
      <w:r>
        <w:rPr>
          <w:rFonts w:hint="eastAsia" w:ascii="宋体" w:hAnsi="宋体" w:eastAsia="宋体"/>
          <w:b/>
          <w:bCs/>
          <w:sz w:val="24"/>
          <w:szCs w:val="24"/>
        </w:rPr>
        <w:t>（一）人事业务流程、标准梳理及数据标准编制</w:t>
      </w:r>
    </w:p>
    <w:p w14:paraId="7D5D85F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结合国家、省市及学校相关文件要求，并结合学校实际管理和业务需求，梳理并制定完全契合学校实际的人事相关业务流程和数据标准规范（非通用标准的人事管理方案），总体要求：</w:t>
      </w:r>
    </w:p>
    <w:p w14:paraId="07E9FB4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.负责完成对我校人事处工作业务流程的全部梳理工作（根据项目内双方签字确认的业务流程清单确定流程梳理范围）。</w:t>
      </w:r>
    </w:p>
    <w:p w14:paraId="36598778">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2.负责完成本项目内人事系统功能范围内所拥有的数据梳理，对接我校数据中台，满足校本数据中心的数据采集和对接需求。</w:t>
      </w:r>
    </w:p>
    <w:p w14:paraId="23AED4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w:t>
      </w:r>
      <w:r>
        <w:rPr>
          <w:rFonts w:ascii="宋体" w:hAnsi="宋体" w:eastAsia="宋体"/>
          <w:sz w:val="24"/>
          <w:szCs w:val="24"/>
        </w:rPr>
        <w:t>.满足省教育厅内部质量保证体系诊断与改进功能的要求。</w:t>
      </w:r>
      <w:r>
        <w:rPr>
          <w:rFonts w:hint="eastAsia" w:ascii="宋体" w:hAnsi="宋体" w:eastAsia="宋体"/>
          <w:sz w:val="24"/>
          <w:szCs w:val="24"/>
        </w:rPr>
        <w:t>具体（不局限于，以学校最终确定的业务流程清单为准）如下：</w:t>
      </w:r>
    </w:p>
    <w:p w14:paraId="0521884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（1）梳理学校组织架构、组织职能管理标准；</w:t>
      </w:r>
    </w:p>
    <w:p w14:paraId="7276C630">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（2）梳理人事信息字段标准及结构化业务模板；</w:t>
      </w:r>
    </w:p>
    <w:p w14:paraId="519E25E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（3）梳理岗位、职务、职称、职级体系标准及结构化业务模板；</w:t>
      </w:r>
    </w:p>
    <w:p w14:paraId="3B221D7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（4）梳理薪资体系标准及结构化业务模板；</w:t>
      </w:r>
    </w:p>
    <w:p w14:paraId="26D1175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（5）梳理并制定岗位基本工作量标准业务方案及结构化业务模板；</w:t>
      </w:r>
    </w:p>
    <w:p w14:paraId="3E78B4B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6</w:t>
      </w:r>
      <w:r>
        <w:rPr>
          <w:rFonts w:hint="eastAsia" w:ascii="宋体" w:hAnsi="宋体" w:eastAsia="宋体"/>
          <w:sz w:val="24"/>
          <w:szCs w:val="24"/>
        </w:rPr>
        <w:t>）梳理人事关系管理（入、转、调、离、退、返等）业务流程；</w:t>
      </w:r>
    </w:p>
    <w:p w14:paraId="37BA1AC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7</w:t>
      </w:r>
      <w:r>
        <w:rPr>
          <w:rFonts w:hint="eastAsia" w:ascii="宋体" w:hAnsi="宋体" w:eastAsia="宋体"/>
          <w:sz w:val="24"/>
          <w:szCs w:val="24"/>
        </w:rPr>
        <w:t>）梳理进修培训管理业务流程；</w:t>
      </w:r>
    </w:p>
    <w:p w14:paraId="79A27B5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8</w:t>
      </w:r>
      <w:r>
        <w:rPr>
          <w:rFonts w:hint="eastAsia" w:ascii="宋体" w:hAnsi="宋体" w:eastAsia="宋体"/>
          <w:sz w:val="24"/>
          <w:szCs w:val="24"/>
        </w:rPr>
        <w:t>）梳理薪资管理业务流程；</w:t>
      </w:r>
    </w:p>
    <w:p w14:paraId="6962AF2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9</w:t>
      </w:r>
      <w:r>
        <w:rPr>
          <w:rFonts w:hint="eastAsia" w:ascii="宋体" w:hAnsi="宋体" w:eastAsia="宋体"/>
          <w:sz w:val="24"/>
          <w:szCs w:val="24"/>
        </w:rPr>
        <w:t>）梳理考勤管理业务流程；</w:t>
      </w:r>
    </w:p>
    <w:p w14:paraId="09E5DFB5">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0</w:t>
      </w:r>
      <w:r>
        <w:rPr>
          <w:rFonts w:hint="eastAsia" w:ascii="宋体" w:hAnsi="宋体" w:eastAsia="宋体"/>
          <w:sz w:val="24"/>
          <w:szCs w:val="24"/>
        </w:rPr>
        <w:t>）梳理人事管理各业务分析方案。</w:t>
      </w:r>
    </w:p>
    <w:p w14:paraId="52C3DE3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1</w:t>
      </w:r>
      <w:r>
        <w:rPr>
          <w:rFonts w:hint="eastAsia" w:ascii="宋体" w:hAnsi="宋体" w:eastAsia="宋体"/>
          <w:sz w:val="24"/>
          <w:szCs w:val="24"/>
        </w:rPr>
        <w:t>）人事相关管理业务方案和结构化业务模板。</w:t>
      </w:r>
    </w:p>
    <w:p w14:paraId="3F31F945">
      <w:pPr>
        <w:adjustRightInd w:val="0"/>
        <w:snapToGrid w:val="0"/>
        <w:spacing w:line="360" w:lineRule="auto"/>
        <w:ind w:left="692" w:leftChars="100" w:hanging="482" w:hangingChars="200"/>
        <w:rPr>
          <w:rFonts w:hint="eastAsia" w:ascii="宋体" w:hAnsi="宋体" w:eastAsia="宋体"/>
          <w:b/>
          <w:bCs/>
          <w:sz w:val="24"/>
          <w:szCs w:val="24"/>
        </w:rPr>
      </w:pPr>
      <w:r>
        <w:rPr>
          <w:rFonts w:hint="eastAsia" w:ascii="宋体" w:hAnsi="宋体" w:eastAsia="宋体"/>
          <w:b/>
          <w:bCs/>
          <w:sz w:val="24"/>
          <w:szCs w:val="24"/>
        </w:rPr>
        <w:t>（二）人事系统建设</w:t>
      </w:r>
    </w:p>
    <w:p w14:paraId="7B34927F">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1.</w:t>
      </w:r>
      <w:r>
        <w:rPr>
          <w:rFonts w:hint="eastAsia" w:ascii="宋体" w:hAnsi="宋体" w:eastAsia="宋体"/>
          <w:b/>
          <w:bCs/>
          <w:sz w:val="24"/>
          <w:szCs w:val="24"/>
        </w:rPr>
        <w:t>系统平台</w:t>
      </w:r>
      <w:r>
        <w:rPr>
          <w:rFonts w:ascii="宋体" w:hAnsi="宋体" w:eastAsia="宋体"/>
          <w:b/>
          <w:bCs/>
          <w:sz w:val="24"/>
          <w:szCs w:val="24"/>
        </w:rPr>
        <w:t>建设要求</w:t>
      </w:r>
    </w:p>
    <w:p w14:paraId="2AE50873">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1.1</w:t>
      </w:r>
      <w:r>
        <w:rPr>
          <w:rFonts w:hint="eastAsia" w:ascii="宋体" w:hAnsi="宋体" w:eastAsia="宋体"/>
          <w:b/>
          <w:bCs/>
          <w:sz w:val="24"/>
          <w:szCs w:val="24"/>
        </w:rPr>
        <w:t>系统管理</w:t>
      </w:r>
      <w:r>
        <w:rPr>
          <w:rFonts w:ascii="宋体" w:hAnsi="宋体" w:eastAsia="宋体"/>
          <w:b/>
          <w:bCs/>
          <w:sz w:val="24"/>
          <w:szCs w:val="24"/>
        </w:rPr>
        <w:t>平台：</w:t>
      </w:r>
      <w:r>
        <w:rPr>
          <w:rFonts w:hint="eastAsia" w:ascii="宋体" w:hAnsi="宋体" w:eastAsia="宋体"/>
          <w:sz w:val="24"/>
          <w:szCs w:val="24"/>
        </w:rPr>
        <w:t>平台具有强大功能支撑，具体如下：</w:t>
      </w:r>
    </w:p>
    <w:p w14:paraId="2F81F66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（1）组织引擎：平台具备多维组织、分权应用增强、细化矩阵管理、系统分级保护、组织展示多样化、三员（权）分立功能。</w:t>
      </w:r>
    </w:p>
    <w:p w14:paraId="27D7747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流程引擎：平台具备可视化流程管理，具备统一函数库、自由与固化流程结合、可视化表单设计器、可视化流程设计器、灵活批次条件定义、特色的审批矩阵定义及流程节点负责接口等功能。同时支持流程全生命周期管理（建模、设计、运行、监控、优化敏捷），基于BPMN2标准的流程设计规范使用成熟、稳定的流程引擎技术，具备功能丰富扩展性，兼具中国特色流程支持：自由跳转、驳回、追回、加签、抄送等近百种流转特色支持，支持构建流程中心，灵活配置实现跨系统的业务编排整合。</w:t>
      </w:r>
    </w:p>
    <w:p w14:paraId="0F9C9E6E">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（3）门户引擎：平台提供多元门户管理功能，可自定义门户主题风格、门户图片、门户菜单风格等，具备一建复用门户、灵活的元素定义、门户布局任意自定义等功能。门户平台支持 PC、平板、手机等多端（支持APP/微信/H5页面集成等形式）进行可视化门户布局、门户栏目设计、门户授权配置，通过门户栏目可以方便快捷的集成各个系统的数据进行统一的展示、提供统一入口，支持构建统一的消息中心，支持单点登录集成。</w:t>
      </w:r>
    </w:p>
    <w:p w14:paraId="06768C3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（4）内容引擎：系统对业务应用提供强大的权限控制、自主公文编辑器与主流office在线文档平台完美集成。</w:t>
      </w:r>
    </w:p>
    <w:p w14:paraId="0CEE2B45">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（5）</w:t>
      </w:r>
      <w:r>
        <w:rPr>
          <w:rFonts w:ascii="宋体" w:hAnsi="宋体" w:eastAsia="宋体"/>
          <w:szCs w:val="21"/>
        </w:rPr>
        <w:t>▲</w:t>
      </w:r>
      <w:r>
        <w:rPr>
          <w:rFonts w:hint="eastAsia" w:ascii="宋体" w:hAnsi="宋体" w:eastAsia="宋体"/>
          <w:sz w:val="24"/>
          <w:szCs w:val="24"/>
        </w:rPr>
        <w:t>建模引擎：平台具备可视化业务建模、表单设计等功能，通过方便快捷的在线表单设计快速生成表单，用于流程审批和业务逻辑处理。建模引擎与流程引擎紧密结合平台拖拽式的表单设计模式可支持：在线自建表或引用第三方数据源中实体表生成表单集成第三方 URL 表单及数十种表单控件、多种字段校验规则在线配置功能，表单控件灵活扩展、在线配置多级联动、统计公式、数据视图具有</w:t>
      </w:r>
      <w:r>
        <w:rPr>
          <w:rFonts w:ascii="宋体" w:hAnsi="宋体" w:eastAsia="宋体"/>
          <w:sz w:val="24"/>
          <w:szCs w:val="24"/>
        </w:rPr>
        <w:t>PC、移动设计分离</w:t>
      </w:r>
      <w:r>
        <w:rPr>
          <w:rFonts w:hint="eastAsia" w:ascii="宋体" w:hAnsi="宋体" w:eastAsia="宋体"/>
          <w:sz w:val="24"/>
          <w:szCs w:val="24"/>
        </w:rPr>
        <w:t>、</w:t>
      </w:r>
      <w:r>
        <w:rPr>
          <w:rFonts w:ascii="宋体" w:hAnsi="宋体" w:eastAsia="宋体"/>
          <w:sz w:val="24"/>
          <w:szCs w:val="24"/>
        </w:rPr>
        <w:t>300+插件化设计</w:t>
      </w:r>
      <w:r>
        <w:rPr>
          <w:rFonts w:hint="eastAsia" w:ascii="宋体" w:hAnsi="宋体" w:eastAsia="宋体"/>
          <w:sz w:val="24"/>
          <w:szCs w:val="24"/>
        </w:rPr>
        <w:t>、</w:t>
      </w:r>
      <w:r>
        <w:rPr>
          <w:rFonts w:ascii="宋体" w:hAnsi="宋体" w:eastAsia="宋体"/>
          <w:sz w:val="24"/>
          <w:szCs w:val="24"/>
        </w:rPr>
        <w:t>支持跨系统应用</w:t>
      </w:r>
      <w:r>
        <w:rPr>
          <w:rFonts w:hint="eastAsia" w:ascii="宋体" w:hAnsi="宋体" w:eastAsia="宋体"/>
          <w:sz w:val="24"/>
          <w:szCs w:val="24"/>
        </w:rPr>
        <w:t>等特点。</w:t>
      </w:r>
    </w:p>
    <w:p w14:paraId="27FEB14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6）移动引擎：平台具有可视化移动建模功能，支持所见即所得的移动端界面配置功能，设计、开发移动端应用、界面、字段、插件、函数等功能，并支持移动端应用情况监控管理功能（移动端访问日志、应用日志、活跃应用、活跃用户等），同时具备移动端接口管理功能，可配置、开发移动端与第三方系统接口集成。</w:t>
      </w:r>
    </w:p>
    <w:p w14:paraId="70E31DD8">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（7）应用中心：平台支持将前端业务应用所需的参数、规则等配置功能，统一集中到应用中心统一管理和设置。</w:t>
      </w:r>
    </w:p>
    <w:p w14:paraId="53FCE4BF">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8）集成中心：平台提供统一、集中管理的集成中心、第三方业务系统集成、银行接口集成、商旅集成、多数据源设置（支持MSSQL、Oracle、MySQL、DB2、DM、hana等）、单点登录集成、IM即时通讯集成日志中心：平台提供统一、集中管理和配置的日志管理中心，具备系统日志（人员登录日志、人员登录失败日志、在线人数分析等）、内容日志（文档阅读日志、文档下载日志、文档修改日志）、流程日志（流程自动流转日志、流程读取日志、流程处理日志、流程删除日志等）。</w:t>
      </w:r>
    </w:p>
    <w:p w14:paraId="27E0683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（9）语言中心：平台支持多语种管理（中文、英文、繁体中文等）。</w:t>
      </w:r>
    </w:p>
    <w:p w14:paraId="670A4D2F">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1.2</w:t>
      </w:r>
      <w:r>
        <w:rPr>
          <w:rFonts w:hint="eastAsia" w:ascii="宋体" w:hAnsi="宋体" w:eastAsia="宋体"/>
          <w:sz w:val="24"/>
          <w:szCs w:val="24"/>
        </w:rPr>
        <w:t xml:space="preserve"> </w:t>
      </w:r>
      <w:r>
        <w:rPr>
          <w:rFonts w:ascii="宋体" w:hAnsi="宋体" w:eastAsia="宋体"/>
          <w:szCs w:val="21"/>
        </w:rPr>
        <w:t>▲</w:t>
      </w:r>
      <w:r>
        <w:rPr>
          <w:rFonts w:hint="eastAsia" w:ascii="宋体" w:hAnsi="宋体" w:eastAsia="宋体"/>
          <w:sz w:val="24"/>
          <w:szCs w:val="24"/>
        </w:rPr>
        <w:t>运维管理平台</w:t>
      </w:r>
    </w:p>
    <w:p w14:paraId="113FEA0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投标方系统平台，需具备统一运维管理平台，为平台运行提供实时、高效、便捷的运维管理，具体需具备如下功能：</w:t>
      </w:r>
    </w:p>
    <w:p w14:paraId="5C02D6BA">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平台服务状态监控：可监控平台系统（PC端+移动端）服务运行情况、平台所在的服务器硬件运行情况（jvm内存、线程、CPU、端口打开情况、网卡接收速率、磁盘读写速度等情况）、平台所用数据库运行情况（数据库连接池、平均响应时间）等。</w:t>
      </w:r>
    </w:p>
    <w:p w14:paraId="73F48DE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（2）支持平台服务设置预警阈值，具备预警监控大屏功能。</w:t>
      </w:r>
    </w:p>
    <w:p w14:paraId="07F42206">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（3）具备平台自检功能，可“一键自检”，自动检测系统服务是否异常，出具自检报告。</w:t>
      </w:r>
    </w:p>
    <w:p w14:paraId="3BC9EAAA">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（4）支持平台核心配置文件，“一键备份”功能。</w:t>
      </w:r>
    </w:p>
    <w:p w14:paraId="4C3C553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（5）支持设置平台定时自动重启功能。</w:t>
      </w:r>
    </w:p>
    <w:p w14:paraId="419E40E7">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（6）支持系统升级功能，上传升级包，“一键升级”，升级系统BUG修复、底层功能。</w:t>
      </w:r>
    </w:p>
    <w:p w14:paraId="6F2CA58C">
      <w:pPr>
        <w:adjustRightInd w:val="0"/>
        <w:snapToGrid w:val="0"/>
        <w:spacing w:line="360" w:lineRule="auto"/>
        <w:ind w:firstLine="241" w:firstLineChars="100"/>
        <w:rPr>
          <w:rFonts w:hint="eastAsia" w:ascii="宋体" w:hAnsi="宋体" w:eastAsia="宋体"/>
          <w:b/>
          <w:bCs/>
          <w:sz w:val="24"/>
          <w:szCs w:val="24"/>
        </w:rPr>
      </w:pPr>
      <w:bookmarkStart w:id="23" w:name="_Toc19360"/>
      <w:r>
        <w:rPr>
          <w:rFonts w:ascii="宋体" w:hAnsi="宋体" w:eastAsia="宋体"/>
          <w:b/>
          <w:bCs/>
          <w:sz w:val="24"/>
          <w:szCs w:val="24"/>
        </w:rPr>
        <w:t>2.系统应用建设要求</w:t>
      </w:r>
      <w:bookmarkEnd w:id="23"/>
    </w:p>
    <w:p w14:paraId="1ED7DE94">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2.1</w:t>
      </w:r>
      <w:r>
        <w:rPr>
          <w:rFonts w:hint="eastAsia" w:ascii="宋体" w:hAnsi="宋体" w:eastAsia="宋体"/>
          <w:b/>
          <w:bCs/>
          <w:sz w:val="24"/>
          <w:szCs w:val="24"/>
        </w:rPr>
        <w:t>门户管理</w:t>
      </w:r>
    </w:p>
    <w:p w14:paraId="5A828AD6">
      <w:pPr>
        <w:adjustRightInd w:val="0"/>
        <w:snapToGrid w:val="0"/>
        <w:spacing w:line="360" w:lineRule="auto"/>
        <w:ind w:firstLine="480" w:firstLineChars="200"/>
        <w:rPr>
          <w:rFonts w:hint="eastAsia" w:ascii="宋体" w:hAnsi="宋体" w:eastAsia="宋体"/>
          <w:b/>
          <w:bCs/>
          <w:sz w:val="24"/>
          <w:szCs w:val="24"/>
        </w:rPr>
      </w:pPr>
      <w:r>
        <w:rPr>
          <w:rFonts w:hint="eastAsia" w:ascii="宋体" w:hAnsi="宋体" w:eastAsia="宋体"/>
          <w:sz w:val="24"/>
          <w:szCs w:val="24"/>
        </w:rPr>
        <w:t>门户是系统的门面，是用户登录系统后看到的第一个页面，他是由一个个的元素组成的，元素就是显示某一类信息的集成，这些信息可以是公告、文档、流程、日程，也可以是天气、快速访问工具等。</w:t>
      </w:r>
    </w:p>
    <w:p w14:paraId="5D1520FC">
      <w:pPr>
        <w:adjustRightInd w:val="0"/>
        <w:snapToGrid w:val="0"/>
        <w:spacing w:line="360" w:lineRule="auto"/>
        <w:ind w:firstLine="240" w:firstLineChars="100"/>
        <w:rPr>
          <w:rFonts w:hint="eastAsia" w:ascii="宋体" w:hAnsi="宋体" w:eastAsia="宋体"/>
          <w:b/>
          <w:bCs/>
          <w:sz w:val="24"/>
          <w:szCs w:val="24"/>
        </w:rPr>
      </w:pPr>
      <w:r>
        <w:rPr>
          <w:rFonts w:hint="eastAsia" w:ascii="宋体" w:hAnsi="宋体" w:eastAsia="宋体"/>
          <w:sz w:val="24"/>
          <w:szCs w:val="24"/>
        </w:rPr>
        <w:t>（1）系统可根据不同的用户的岗位、角色，提供门户化的工作桌面，将岗位所需要的人事相关的信息、数据和应用功能进行实时的推送，实现一站式的人事工作处理，打破原先的人需要去找事情的方式，提升人事业务处理效率。</w:t>
      </w:r>
    </w:p>
    <w:p w14:paraId="0E9F5D4F">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（2）系统支持设置教职工自助门户，教职工可以通过教职工自助门户，场景化的查询信息、发起申请与办理业务。如：快速发起各类人事自助业务、发起相关流程申请、查询个人信息、制度、培训安排等。</w:t>
      </w:r>
    </w:p>
    <w:p w14:paraId="12CB598C">
      <w:pPr>
        <w:adjustRightInd w:val="0"/>
        <w:snapToGrid w:val="0"/>
        <w:spacing w:line="360" w:lineRule="auto"/>
        <w:ind w:left="210" w:leftChars="100"/>
        <w:rPr>
          <w:rFonts w:hint="eastAsia" w:ascii="宋体" w:hAnsi="宋体" w:eastAsia="宋体"/>
          <w:sz w:val="24"/>
          <w:szCs w:val="24"/>
        </w:rPr>
      </w:pPr>
      <w:r>
        <w:rPr>
          <w:rFonts w:ascii="宋体" w:hAnsi="宋体" w:eastAsia="宋体"/>
          <w:b/>
          <w:bCs/>
          <w:sz w:val="24"/>
          <w:szCs w:val="24"/>
        </w:rPr>
        <w:t>2.2</w:t>
      </w:r>
      <w:r>
        <w:rPr>
          <w:rFonts w:hint="eastAsia" w:ascii="宋体" w:hAnsi="宋体" w:eastAsia="宋体"/>
          <w:b/>
          <w:bCs/>
          <w:sz w:val="24"/>
          <w:szCs w:val="24"/>
        </w:rPr>
        <w:t>组织管理</w:t>
      </w:r>
      <w:r>
        <w:rPr>
          <w:rFonts w:hint="eastAsia" w:ascii="宋体" w:hAnsi="宋体" w:eastAsia="宋体"/>
          <w:sz w:val="24"/>
          <w:szCs w:val="24"/>
        </w:rPr>
        <w:br w:type="textWrapping"/>
      </w:r>
      <w:r>
        <w:rPr>
          <w:rFonts w:hint="eastAsia" w:ascii="宋体" w:hAnsi="宋体" w:eastAsia="宋体"/>
          <w:sz w:val="24"/>
          <w:szCs w:val="24"/>
        </w:rPr>
        <w:t>（1）组织管理主要为：组织机构管理、组织职能管理、组织权限管理和岗位体系管理。</w:t>
      </w:r>
    </w:p>
    <w:p w14:paraId="1E370C07">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（2）组织机构管理：支持多维度、多层级组织管理，组织的新增、合并与拆分、停用等。</w:t>
      </w:r>
    </w:p>
    <w:p w14:paraId="40D53CEA">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（3）组织职能管理：支持设置对应组织机构组织职能</w:t>
      </w:r>
    </w:p>
    <w:p w14:paraId="4F8EA4B7">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组织权限管理：支持根据组织、人员、功能菜单甚至是字段级别进行权限控制，并且对于敏感字段信息，还具备加密访问的方式，如人员的工资信息等；支持学校-各单位等集团化的人事管理，支持分级分权的人事管理，也支持人事共享中心的集中式管理。</w:t>
      </w:r>
    </w:p>
    <w:p w14:paraId="2E51D3C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（5）岗位体系管理：支持岗位体系管理，并与职称评级等进行业务关联。</w:t>
      </w:r>
    </w:p>
    <w:p w14:paraId="143738B7">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2.3</w:t>
      </w:r>
      <w:r>
        <w:rPr>
          <w:rFonts w:ascii="宋体" w:hAnsi="宋体" w:eastAsia="宋体"/>
          <w:szCs w:val="21"/>
        </w:rPr>
        <w:t>▲</w:t>
      </w:r>
      <w:r>
        <w:rPr>
          <w:rFonts w:hint="eastAsia" w:ascii="宋体" w:hAnsi="宋体" w:eastAsia="宋体"/>
          <w:b/>
          <w:bCs/>
          <w:sz w:val="24"/>
          <w:szCs w:val="24"/>
        </w:rPr>
        <w:t>人事关系管理</w:t>
      </w:r>
    </w:p>
    <w:p w14:paraId="258784C5">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人事关系管理需包括：入（入职）、转（挂职、晋升）、调（调动、转岗）、离（离职、退休（内退）、解聘、去世）四大方面等，实现教职工的全生命周期管理。</w:t>
      </w:r>
    </w:p>
    <w:p w14:paraId="5AFD4D8F">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人事关系管理主要实现价值为：</w:t>
      </w:r>
    </w:p>
    <w:p w14:paraId="4295588A">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人员的入转调离全流程管理，汇聚到人才库。</w:t>
      </w:r>
    </w:p>
    <w:p w14:paraId="76728E0E">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所有人事关系业务流程线上处理，审批、知会全过程可视。</w:t>
      </w:r>
    </w:p>
    <w:p w14:paraId="23C0ACD1">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人才动态库可以进度全方位精准分析，形成人物画像。</w:t>
      </w:r>
    </w:p>
    <w:p w14:paraId="31B29FF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（1）教职工档案管理</w:t>
      </w:r>
    </w:p>
    <w:p w14:paraId="2CAFE95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1）新建人员：通过该功能为新员工在系统中建立初始人员信息，包含“填写基本信息、填写个人信息、填写工作信息、填写系统信息”。</w:t>
      </w:r>
    </w:p>
    <w:p w14:paraId="7396F522">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我的卡片：将人员所有信息，如学习经历、岗位聘任、行政职务、专业技术职务、国（境）外留学或工作经历、培养培训、政治面貌、亲属关系、合同信息、单位（岗位）异动、考勤管理、考核管理、薪酬社保待遇、档案管理、电子干部履历表管理等，自动归集到人员信息卡片，形成员工的全周期管理。</w:t>
      </w:r>
    </w:p>
    <w:p w14:paraId="01470D5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3）我的下属：可通过员工信息中设置上下级人员，在其中看见本人所属下属人员。</w:t>
      </w:r>
    </w:p>
    <w:p w14:paraId="1DD7A35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4）教职工可线上（手机端和PC端）维护个人信息，支持维护基本信息及各项经历信息，可供各单位管理员或校级管理员在线查看，并支持校级管理员逐条录入或批量录入人员信息 。</w:t>
      </w:r>
    </w:p>
    <w:p w14:paraId="74A20730">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)对于组织部认定的关键信息，可自由设置字段的编辑范围，如部分重要字段不允许修改，同时对于一些关键信息，可设置个人填写以后，管理员审核的过程 ，并可设置各单位或校级审核环节。管理员可在线查阅各部门信息采集时的提交进度，并可对未提交的部门可通过短信、微信及邮件的方式进行工作提醒 。</w:t>
      </w:r>
    </w:p>
    <w:p w14:paraId="06FAA5D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（2）教职工入职：</w:t>
      </w:r>
    </w:p>
    <w:p w14:paraId="58B868B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在新员工入职时，通过提交“教职工入职流程”，将员工入职所办理的各部门的手续实现线上办理，并可和后续培训流程进行关联。</w:t>
      </w:r>
    </w:p>
    <w:p w14:paraId="359719B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（3）教职工转正：</w:t>
      </w:r>
    </w:p>
    <w:p w14:paraId="00C343E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可设置转正人、转正日期、转正通知人、转正权限管控设置，在系统中体现人员状态。</w:t>
      </w:r>
    </w:p>
    <w:p w14:paraId="5E10990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（4）教职工调岗：</w:t>
      </w:r>
    </w:p>
    <w:p w14:paraId="3DCBB6E0">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通过该功能，对教职工实现部门调动、岗位调动等业务，包含被调动人、调动日期、调动原因、新部门、新岗位、新职级、调动后上级、调动通知人、调动后权限管控等。</w:t>
      </w:r>
    </w:p>
    <w:p w14:paraId="4B33950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（5）教职工离职、退休：</w:t>
      </w:r>
    </w:p>
    <w:p w14:paraId="14EA0039">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通过该功能，实现对员工的离职手续办理、退休手续办理等业务。</w:t>
      </w:r>
    </w:p>
    <w:p w14:paraId="70173EC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（6）教职工返聘：</w:t>
      </w:r>
    </w:p>
    <w:p w14:paraId="46D061B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通过该功能，实现对已退休员工，办理返聘手续办理等业务。</w:t>
      </w:r>
    </w:p>
    <w:p w14:paraId="4341620D">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2.4</w:t>
      </w:r>
      <w:r>
        <w:rPr>
          <w:rFonts w:hint="eastAsia" w:ascii="宋体" w:hAnsi="宋体" w:eastAsia="宋体"/>
          <w:b/>
          <w:bCs/>
          <w:sz w:val="24"/>
          <w:szCs w:val="24"/>
        </w:rPr>
        <w:t>进修培训管理</w:t>
      </w:r>
    </w:p>
    <w:p w14:paraId="3E5B6BE2">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功能需实现全面的培训体系、培训执行、培训考核及培训分析管理，主要包括：能力素质模型、教职工能力素质盘点、教职工能力素质分析、培训行动建议、培训方案、培训执行、培训考核、培训分析、培训知识库等。</w:t>
      </w:r>
    </w:p>
    <w:p w14:paraId="54468AC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培训管理最终实现的业务目的：</w:t>
      </w:r>
    </w:p>
    <w:p w14:paraId="3147C22D">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人才盘点、培训需求、培训记录、培训考评完整流程化。</w:t>
      </w:r>
    </w:p>
    <w:p w14:paraId="28F0FAD0">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培训记录自动集成到员工档案，更新人才库。</w:t>
      </w:r>
    </w:p>
    <w:p w14:paraId="3FD2B576">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员工职业生涯全生命周期完整规划、记录。</w:t>
      </w:r>
    </w:p>
    <w:p w14:paraId="118836A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（1）培训种类：系统支持对培训种类进行设置，如校内培训、校外培训、国内访学、社会实践、境外访学、国培、省培、个人学历、个人进修等。</w:t>
      </w:r>
    </w:p>
    <w:p w14:paraId="31A65747">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（2）培训规划：系统具备培训规划设置，包含培训名称、培训种类、考评人、考评日期等。</w:t>
      </w:r>
    </w:p>
    <w:p w14:paraId="556EFCC2">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（3）培训资源：系统具备培训资源管理功能，包含培训名称、培训费用、培训周期、培训种类等。</w:t>
      </w:r>
    </w:p>
    <w:p w14:paraId="1DE380A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（4）培训安排：支持对学校各种类型的培训进行培训安排，包括培训名称、培训分类、培训日期、培训说明、培训资料、培训人员等信息进行管理。</w:t>
      </w:r>
    </w:p>
    <w:p w14:paraId="3BCA9EBE">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（5）培训执行及考核管理：根据培训安排，对培训执行情况进行管理（人员是否参训、参训情况、参训考核等），并形成培训记录，并将培训记录与教职工个人卡片信息关联。</w:t>
      </w:r>
    </w:p>
    <w:p w14:paraId="6738BB55">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2.5</w:t>
      </w:r>
      <w:r>
        <w:rPr>
          <w:rFonts w:ascii="宋体" w:hAnsi="宋体" w:eastAsia="宋体"/>
          <w:szCs w:val="21"/>
        </w:rPr>
        <w:t>▲</w:t>
      </w:r>
      <w:r>
        <w:rPr>
          <w:rFonts w:hint="eastAsia" w:ascii="宋体" w:hAnsi="宋体" w:eastAsia="宋体"/>
          <w:b/>
          <w:bCs/>
          <w:sz w:val="24"/>
          <w:szCs w:val="24"/>
        </w:rPr>
        <w:t>考勤管理</w:t>
      </w:r>
    </w:p>
    <w:p w14:paraId="0677A3B1">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本功需实现教职工的全过程考勤管理：假期管理、考勤规则、考勤排班、请假、出差、调休、加班、多维度考勤分析、考勤打卡（与考勤硬件设备集成关联）。</w:t>
      </w:r>
    </w:p>
    <w:p w14:paraId="36CF81C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考勤管理实现的业务目的：</w:t>
      </w:r>
    </w:p>
    <w:p w14:paraId="51B2D69B">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w:t>
      </w:r>
      <w:r>
        <w:rPr>
          <w:rFonts w:ascii="宋体" w:hAnsi="宋体" w:eastAsia="宋体"/>
          <w:sz w:val="24"/>
          <w:szCs w:val="24"/>
        </w:rPr>
        <w:t>考勤移动化，自动化采集汇总，智能分析</w:t>
      </w:r>
      <w:r>
        <w:rPr>
          <w:rFonts w:hint="eastAsia" w:ascii="宋体" w:hAnsi="宋体" w:eastAsia="宋体"/>
          <w:sz w:val="24"/>
          <w:szCs w:val="24"/>
        </w:rPr>
        <w:t>。</w:t>
      </w:r>
    </w:p>
    <w:p w14:paraId="54DFE94D">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w:t>
      </w:r>
      <w:r>
        <w:rPr>
          <w:rFonts w:ascii="宋体" w:hAnsi="宋体" w:eastAsia="宋体"/>
          <w:sz w:val="24"/>
          <w:szCs w:val="24"/>
        </w:rPr>
        <w:t>全流程自动集成（请假、出差、调休、加班），自动汇总</w:t>
      </w:r>
      <w:r>
        <w:rPr>
          <w:rFonts w:hint="eastAsia" w:ascii="宋体" w:hAnsi="宋体" w:eastAsia="宋体"/>
          <w:sz w:val="24"/>
          <w:szCs w:val="24"/>
        </w:rPr>
        <w:t>。</w:t>
      </w:r>
    </w:p>
    <w:p w14:paraId="2D060584">
      <w:pPr>
        <w:adjustRightInd w:val="0"/>
        <w:snapToGrid w:val="0"/>
        <w:spacing w:line="360" w:lineRule="auto"/>
        <w:ind w:firstLine="240" w:firstLineChars="100"/>
        <w:rPr>
          <w:rFonts w:hint="eastAsia" w:ascii="宋体" w:hAnsi="宋体" w:eastAsia="宋体"/>
          <w:sz w:val="24"/>
          <w:szCs w:val="24"/>
        </w:rPr>
      </w:pPr>
      <w:r>
        <w:rPr>
          <w:rFonts w:hint="eastAsia" w:ascii="MS Mincho" w:hAnsi="MS Mincho" w:eastAsia="MS Mincho" w:cs="MS Mincho"/>
          <w:sz w:val="24"/>
          <w:szCs w:val="24"/>
        </w:rPr>
        <w:t>▶</w:t>
      </w:r>
      <w:r>
        <w:rPr>
          <w:rFonts w:hint="eastAsia" w:ascii="宋体" w:hAnsi="宋体" w:eastAsia="宋体"/>
          <w:sz w:val="24"/>
          <w:szCs w:val="24"/>
        </w:rPr>
        <w:t xml:space="preserve"> </w:t>
      </w:r>
      <w:r>
        <w:rPr>
          <w:rFonts w:ascii="宋体" w:hAnsi="宋体" w:eastAsia="宋体"/>
          <w:sz w:val="24"/>
          <w:szCs w:val="24"/>
        </w:rPr>
        <w:t>与薪酬模块自动集成，为薪酬核算自动化提供准确数据</w:t>
      </w:r>
      <w:r>
        <w:rPr>
          <w:rFonts w:hint="eastAsia" w:ascii="宋体" w:hAnsi="宋体" w:eastAsia="宋体"/>
          <w:sz w:val="24"/>
          <w:szCs w:val="24"/>
        </w:rPr>
        <w:t>。</w:t>
      </w:r>
    </w:p>
    <w:p w14:paraId="5B0E6AEC">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（1）假期管理：通过该功能，设置学校各类假期管理，包含假期类型管理、年假管理、带薪假管理、假期余额管理等。</w:t>
      </w:r>
    </w:p>
    <w:p w14:paraId="5328D4FF">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 考勤规则：通过该功能，设置学校各类考勤规则，包含日常上下班规则、加班规则、出差规则、请假规则、调休规则等。</w:t>
      </w:r>
    </w:p>
    <w:p w14:paraId="60801EB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（3）考勤流程：系统需支持各种考勤流程，为学校考勤实现全线上管理，包含请假流程、加班流程、出差流程、调休流程等。</w:t>
      </w:r>
    </w:p>
    <w:p w14:paraId="2E282C47">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（4）移动考勤支持：系统支持移动考勤打卡功能。</w:t>
      </w:r>
    </w:p>
    <w:p w14:paraId="56375DAF">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2.6</w:t>
      </w:r>
      <w:r>
        <w:rPr>
          <w:rFonts w:hint="eastAsia" w:ascii="宋体" w:hAnsi="宋体" w:eastAsia="宋体"/>
          <w:b/>
          <w:bCs/>
          <w:sz w:val="24"/>
          <w:szCs w:val="24"/>
        </w:rPr>
        <w:t xml:space="preserve"> 薪酬管理</w:t>
      </w:r>
    </w:p>
    <w:p w14:paraId="2511DDC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该系统提供多种报表模板及一键下载，支持教职工在线查工资，统计分析收入分布。各级领导和管理员能快速查看工资情况，管理员还能灵活分组工资项，通过多种方式快速维护工资信息。</w:t>
      </w:r>
    </w:p>
    <w:p w14:paraId="39755DD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 系统预置多种报表模板</w:t>
      </w:r>
    </w:p>
    <w:p w14:paraId="669E502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 系统支持一键下载各类报表功能</w:t>
      </w:r>
    </w:p>
    <w:p w14:paraId="6274FD5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 系统支持教职工在线查阅每月工资数据</w:t>
      </w:r>
    </w:p>
    <w:p w14:paraId="3D270BE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 系统支持对教职工的收入进行统计分析（分析全校不同职称、不同职务的收入分布情况）</w:t>
      </w:r>
    </w:p>
    <w:p w14:paraId="1DFF8F7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 个人、部门领导、校级管理员可快速查看个人、部门、全校工资发放、工资变动情况</w:t>
      </w:r>
    </w:p>
    <w:p w14:paraId="702F316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 管理员可对工资项灵活分组，比如事业编制组、离退休组，可调整组内工资项</w:t>
      </w:r>
    </w:p>
    <w:p w14:paraId="5D8620B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 管理员可通过录入、修改、批量导入、Excel解析等方式快速维护全校教职工常量工资项信息（如保险、补贴等）及基本工资信息</w:t>
      </w:r>
    </w:p>
    <w:p w14:paraId="7DA1FB9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 管理员可通过录入、修改、批量导入、Excel解析等方式快速维护全校教职工补发补扣工资项信息，支持预先设定补发补扣时间段，系统自动根据设置情况发放或停发补发补扣工资</w:t>
      </w:r>
    </w:p>
    <w:p w14:paraId="4A3E04BB">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2.7</w:t>
      </w:r>
      <w:r>
        <w:rPr>
          <w:rFonts w:ascii="宋体" w:hAnsi="宋体" w:eastAsia="宋体"/>
          <w:szCs w:val="21"/>
        </w:rPr>
        <w:t>▲</w:t>
      </w:r>
      <w:r>
        <w:rPr>
          <w:rFonts w:hint="eastAsia" w:ascii="宋体" w:hAnsi="宋体" w:eastAsia="宋体"/>
          <w:b/>
          <w:bCs/>
          <w:sz w:val="24"/>
          <w:szCs w:val="24"/>
        </w:rPr>
        <w:t>年度考核</w:t>
      </w:r>
    </w:p>
    <w:p w14:paraId="4848665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可以实现面向普通教职工、各单位、人事处三个层级的在线年度考核信息管理。教职工可以查看或维护本人的年度考核的记录；各单位可以维护本单位教职工的年度考核记录，若有申请记录，则需要人事处审批；人事处可以维护全校人员的年度考核记录，审核个人或各单位提交的年度考核的记录。</w:t>
      </w:r>
    </w:p>
    <w:p w14:paraId="1C8B848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 系统支持个人发起填报</w:t>
      </w:r>
    </w:p>
    <w:p w14:paraId="2F68163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 学院可对本部门的或本小组内的考核小节进行初审</w:t>
      </w:r>
    </w:p>
    <w:p w14:paraId="472940C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 各单位可以维护本单位教职工的年度考核记录，若有申请记录，则需要人事处审批</w:t>
      </w:r>
    </w:p>
    <w:p w14:paraId="14A600D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 校级管理员可查看所有参加考核的人员信息，并可自定义标题字段下载</w:t>
      </w:r>
    </w:p>
    <w:p w14:paraId="3F7BBC1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 可根据教职工填写的信息自动生成考核表，支持预览、打印</w:t>
      </w:r>
    </w:p>
    <w:p w14:paraId="08EC3CE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 可通过个人电脑端或手机端填写考核登记表及提交考核登记表</w:t>
      </w:r>
    </w:p>
    <w:p w14:paraId="69E8AB9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 提供年度小结字数限定设置及填写时剩余字数的友好提示</w:t>
      </w:r>
    </w:p>
    <w:p w14:paraId="1E0B21D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 可预览考核登记表打印表效果</w:t>
      </w:r>
    </w:p>
    <w:p w14:paraId="2C1CE24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 个人可下载电子档考核登记表</w:t>
      </w:r>
    </w:p>
    <w:p w14:paraId="6B20D29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(10) 个人手机端可收到确认考核结论微信提醒</w:t>
      </w:r>
    </w:p>
    <w:p w14:paraId="653B07A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 可在个人手机端或登录电脑端点击提醒链接，扫码签字确认本人考核结论，使确认考核结论工作可随时随地完成，更加体现考核业务的智能化</w:t>
      </w:r>
    </w:p>
    <w:p w14:paraId="24A158A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(12) 支持上报考核结论的虚拟账号与系统真实账号绑定，满足了多个环节上报人均为同一人的时候上报结论的便捷性</w:t>
      </w:r>
    </w:p>
    <w:p w14:paraId="5CD1CC7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(13) 真实账号（绑定虚拟账号后）登录系统时可自由切换选择所需要访问系统功能身份</w:t>
      </w:r>
    </w:p>
    <w:p w14:paraId="779EB37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(14) 虚拟账号可上报，满足上报人在特殊情况下可委托他人上报的需求，从而保证了上报人的账号私密性</w:t>
      </w:r>
    </w:p>
    <w:p w14:paraId="1E58F20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(15) 真实账号和虚拟账号可绑定，真实账号登录也可快速完成上报结论工作</w:t>
      </w:r>
    </w:p>
    <w:p w14:paraId="554A60D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(16) 部门或考核小组上报本部门人员的考核结论时可批量上报，提高效率</w:t>
      </w:r>
    </w:p>
    <w:p w14:paraId="217217E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(17) 部门或考核小组上报结论时可实时批量扫码签名或推送对应领导人签名</w:t>
      </w:r>
    </w:p>
    <w:p w14:paraId="310D010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(18) 可批量导入参加考核人员及考核身份，能够快速完成考核人员的设定</w:t>
      </w:r>
    </w:p>
    <w:p w14:paraId="5AECE47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(19) 可灵活选择年度快速生成考核任务，满足年度考核任务的时间灵活性</w:t>
      </w:r>
    </w:p>
    <w:p w14:paraId="4D04DC2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(20) 可监测本部门人员考核任务（考核登记表）提交情况</w:t>
      </w:r>
    </w:p>
    <w:p w14:paraId="4E7DBB59">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 可查看各部门上报结论情况</w:t>
      </w:r>
    </w:p>
    <w:p w14:paraId="48892B9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(22) 可查看各考核小组上报结论情况</w:t>
      </w:r>
    </w:p>
    <w:p w14:paraId="515AD73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(23) 可将各部门和各小组上报情况下载成excel表格格式，以便督促未完成的上报人员尽快完成</w:t>
      </w:r>
    </w:p>
    <w:p w14:paraId="24FE2C4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(24) 系统支持归档已审核通过的考核结论</w:t>
      </w:r>
    </w:p>
    <w:p w14:paraId="45F5391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(25) 可下载考核结论数据分析上会表，便于线下上会</w:t>
      </w:r>
    </w:p>
    <w:p w14:paraId="6B9D1CD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(26) 可查看各部门及各考核小组领导签字情况</w:t>
      </w:r>
    </w:p>
    <w:p w14:paraId="0569833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(27) 人事处可统一一键推送个人手机微信提醒，提醒个人对本人的最终考核结论进行签字确认，便于人事处控制考核工作整体进行的节奏</w:t>
      </w:r>
    </w:p>
    <w:p w14:paraId="3BDB6D2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(28) 可一键下载，提高考核登记表的线下存档工作效率</w:t>
      </w:r>
    </w:p>
    <w:p w14:paraId="6BF8713F">
      <w:pPr>
        <w:spacing w:line="560" w:lineRule="exact"/>
        <w:ind w:firstLine="482" w:firstLineChars="200"/>
        <w:rPr>
          <w:rFonts w:hint="eastAsia" w:ascii="宋体" w:hAnsi="宋体" w:eastAsia="宋体"/>
          <w:b/>
          <w:bCs/>
          <w:sz w:val="24"/>
          <w:szCs w:val="24"/>
        </w:rPr>
      </w:pPr>
      <w:r>
        <w:rPr>
          <w:rFonts w:ascii="宋体" w:hAnsi="宋体" w:eastAsia="宋体"/>
          <w:b/>
          <w:bCs/>
          <w:sz w:val="24"/>
          <w:szCs w:val="24"/>
        </w:rPr>
        <w:t xml:space="preserve">2.8 </w:t>
      </w:r>
      <w:r>
        <w:rPr>
          <w:rFonts w:ascii="宋体" w:hAnsi="宋体" w:eastAsia="宋体"/>
          <w:szCs w:val="21"/>
        </w:rPr>
        <w:t>▲</w:t>
      </w:r>
      <w:r>
        <w:rPr>
          <w:rFonts w:hint="eastAsia" w:ascii="宋体" w:hAnsi="宋体" w:eastAsia="宋体"/>
          <w:b/>
          <w:bCs/>
          <w:sz w:val="24"/>
          <w:szCs w:val="24"/>
        </w:rPr>
        <w:t>数智决策</w:t>
      </w:r>
      <w:r>
        <w:rPr>
          <w:rFonts w:ascii="宋体" w:hAnsi="宋体" w:eastAsia="宋体"/>
          <w:b/>
          <w:bCs/>
          <w:sz w:val="24"/>
          <w:szCs w:val="24"/>
        </w:rPr>
        <w:t>分析</w:t>
      </w:r>
    </w:p>
    <w:p w14:paraId="351D8189">
      <w:pPr>
        <w:spacing w:line="560" w:lineRule="exact"/>
        <w:ind w:firstLine="482" w:firstLineChars="200"/>
        <w:rPr>
          <w:rFonts w:hint="eastAsia" w:ascii="宋体" w:hAnsi="宋体" w:eastAsia="宋体"/>
          <w:b/>
          <w:bCs/>
          <w:sz w:val="24"/>
          <w:szCs w:val="24"/>
        </w:rPr>
      </w:pPr>
      <w:r>
        <w:rPr>
          <w:rFonts w:hint="eastAsia" w:ascii="宋体" w:hAnsi="宋体" w:eastAsia="宋体"/>
          <w:b/>
          <w:bCs/>
          <w:sz w:val="24"/>
          <w:szCs w:val="24"/>
        </w:rPr>
        <w:t>2.8.1领导</w:t>
      </w:r>
      <w:r>
        <w:rPr>
          <w:rFonts w:ascii="宋体" w:hAnsi="宋体" w:eastAsia="宋体"/>
          <w:b/>
          <w:bCs/>
          <w:sz w:val="24"/>
          <w:szCs w:val="24"/>
        </w:rPr>
        <w:t>驾驶舱</w:t>
      </w:r>
    </w:p>
    <w:p w14:paraId="47FF442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该应用为学校各级领导提供“一站式”决策支持的管理信息中心平台，综合采用数据仓库、数据挖掘、决策分析模型等技术，将领导关心的各类业务状态信息，以“驾驶舱”模式进行动态展示，便于领导实时掌握学校关键人力资源业务的状态。系统可以展现各学院、各部门的人力资源分布情况，可以自由配置出比如学历分布、年龄分布的饼状图、柱状图，支持在查询结果的基础上继续查询分析。 </w:t>
      </w:r>
    </w:p>
    <w:p w14:paraId="26E66EC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(1)系统支持按照各项统计维度灵活设置统计数据范围和统计项，如设置全校人员学历层析分析，支持分析表、分析图同步展示，可用多种分析图展示，如饼状、柱状、折线状、雷达图等 。</w:t>
      </w:r>
    </w:p>
    <w:p w14:paraId="71347D4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(2)支持多级表头，实现二维、多维度报表功能 ，可灵活设置横纵轴统计项，支持以excel格式下载设置好的二维及多维报表数据。</w:t>
      </w:r>
    </w:p>
    <w:p w14:paraId="05B683A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(3)系统支持对分析数据进行数据穿透，可查看人员的详细信息并支持下载</w:t>
      </w:r>
    </w:p>
    <w:p w14:paraId="45E5718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(4)学校领导可以实时的、全面的掌控全校的人员分布情况、职称分布情况、学历层次分布情况、各类人员名册、各类人员情况等。 </w:t>
      </w:r>
    </w:p>
    <w:p w14:paraId="0E40923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(5)通过各种常见的图表形象呈现学校教师发展的关键指标，直观的监测各类指标情况 。</w:t>
      </w:r>
    </w:p>
    <w:p w14:paraId="5E3744B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(6)所有分析图/表均支持在已分析的前提下继续分析筛选符合条件的信息 </w:t>
      </w:r>
    </w:p>
    <w:p w14:paraId="095310E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(7)系统支持将基础人事信息项作为分析项实现数据分析，同时支持对经历信息设置分析项实现经历数据分析。</w:t>
      </w:r>
    </w:p>
    <w:p w14:paraId="52BCE04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(8)系统支持根据学校需求预置校内各类人员数据看板首页，所有数据支持点击穿透查看详情，让领导能够在一个界面看到全校所有不同岗位人员的各类数据及分布图表，为领导提供决策支撑。</w:t>
      </w:r>
    </w:p>
    <w:p w14:paraId="32F627D8">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2.8.2</w:t>
      </w:r>
      <w:r>
        <w:rPr>
          <w:rFonts w:ascii="宋体" w:hAnsi="宋体" w:eastAsia="宋体"/>
          <w:b/>
          <w:bCs/>
          <w:sz w:val="24"/>
          <w:szCs w:val="24"/>
        </w:rPr>
        <w:t xml:space="preserve"> </w:t>
      </w:r>
      <w:r>
        <w:rPr>
          <w:rFonts w:hint="eastAsia" w:ascii="宋体" w:hAnsi="宋体" w:eastAsia="宋体"/>
          <w:b/>
          <w:bCs/>
          <w:sz w:val="24"/>
          <w:szCs w:val="24"/>
        </w:rPr>
        <w:t>信息</w:t>
      </w:r>
      <w:r>
        <w:rPr>
          <w:rFonts w:ascii="宋体" w:hAnsi="宋体" w:eastAsia="宋体"/>
          <w:b/>
          <w:bCs/>
          <w:sz w:val="24"/>
          <w:szCs w:val="24"/>
        </w:rPr>
        <w:t>上报</w:t>
      </w:r>
    </w:p>
    <w:p w14:paraId="28634796">
      <w:pPr>
        <w:spacing w:line="360" w:lineRule="auto"/>
        <w:ind w:firstLine="480" w:firstLineChars="200"/>
        <w:rPr>
          <w:rFonts w:hint="eastAsia" w:ascii="宋体" w:hAnsi="宋体" w:eastAsia="宋体"/>
          <w:sz w:val="24"/>
          <w:szCs w:val="24"/>
        </w:rPr>
      </w:pPr>
      <w:r>
        <w:rPr>
          <w:rFonts w:ascii="宋体" w:hAnsi="宋体" w:eastAsia="宋体"/>
          <w:sz w:val="24"/>
          <w:szCs w:val="24"/>
        </w:rPr>
        <w:t>该应用可预置《高基报表》、《PS报表》、《教育部报表》等，支持一键生成并下载；可查询过往某个时间点当月的教职工所有基本信息数据，并支持导出。</w:t>
      </w:r>
    </w:p>
    <w:p w14:paraId="03BE0F3A">
      <w:pPr>
        <w:spacing w:line="360" w:lineRule="auto"/>
        <w:ind w:firstLine="480" w:firstLineChars="200"/>
        <w:rPr>
          <w:rFonts w:hint="eastAsia" w:ascii="宋体" w:hAnsi="宋体" w:eastAsia="宋体"/>
          <w:sz w:val="24"/>
          <w:szCs w:val="24"/>
        </w:rPr>
      </w:pPr>
      <w:r>
        <w:rPr>
          <w:rFonts w:ascii="宋体" w:hAnsi="宋体" w:eastAsia="宋体"/>
          <w:sz w:val="24"/>
          <w:szCs w:val="24"/>
        </w:rPr>
        <w:t>(1) 可灵活设置统计数据范围</w:t>
      </w:r>
      <w:r>
        <w:rPr>
          <w:rFonts w:hint="eastAsia" w:ascii="宋体" w:hAnsi="宋体" w:eastAsia="宋体"/>
          <w:sz w:val="24"/>
          <w:szCs w:val="24"/>
        </w:rPr>
        <w:t>。</w:t>
      </w:r>
    </w:p>
    <w:p w14:paraId="2D5ACD5B">
      <w:pPr>
        <w:spacing w:line="360" w:lineRule="auto"/>
        <w:ind w:firstLine="480" w:firstLineChars="200"/>
        <w:rPr>
          <w:rFonts w:hint="eastAsia" w:ascii="宋体" w:hAnsi="宋体" w:eastAsia="宋体"/>
          <w:sz w:val="24"/>
          <w:szCs w:val="24"/>
        </w:rPr>
      </w:pPr>
      <w:r>
        <w:rPr>
          <w:rFonts w:ascii="宋体" w:hAnsi="宋体" w:eastAsia="宋体"/>
          <w:sz w:val="24"/>
          <w:szCs w:val="24"/>
        </w:rPr>
        <w:t>(2) 可直观的展示全校各类人员分布情况</w:t>
      </w:r>
      <w:r>
        <w:rPr>
          <w:rFonts w:hint="eastAsia" w:ascii="宋体" w:hAnsi="宋体" w:eastAsia="宋体"/>
          <w:sz w:val="24"/>
          <w:szCs w:val="24"/>
        </w:rPr>
        <w:t>。</w:t>
      </w:r>
    </w:p>
    <w:p w14:paraId="0F84F91F">
      <w:pPr>
        <w:spacing w:line="360" w:lineRule="auto"/>
        <w:ind w:firstLine="480" w:firstLineChars="200"/>
        <w:rPr>
          <w:rFonts w:hint="eastAsia" w:ascii="宋体" w:hAnsi="宋体" w:eastAsia="宋体"/>
          <w:sz w:val="24"/>
          <w:szCs w:val="24"/>
        </w:rPr>
      </w:pPr>
      <w:r>
        <w:rPr>
          <w:rFonts w:ascii="宋体" w:hAnsi="宋体" w:eastAsia="宋体"/>
          <w:sz w:val="24"/>
          <w:szCs w:val="24"/>
        </w:rPr>
        <w:t>(3) 可实现管理员实时查询高基报表数据的功能，系统可以自动根据现有人事数据生成高基报表</w:t>
      </w:r>
      <w:r>
        <w:rPr>
          <w:rFonts w:hint="eastAsia" w:ascii="宋体" w:hAnsi="宋体" w:eastAsia="宋体"/>
          <w:sz w:val="24"/>
          <w:szCs w:val="24"/>
        </w:rPr>
        <w:t>。</w:t>
      </w:r>
    </w:p>
    <w:p w14:paraId="7B55E4AA">
      <w:pPr>
        <w:spacing w:line="360" w:lineRule="auto"/>
        <w:ind w:firstLine="480" w:firstLineChars="200"/>
        <w:rPr>
          <w:rFonts w:hint="eastAsia" w:ascii="宋体" w:hAnsi="宋体" w:eastAsia="宋体"/>
          <w:sz w:val="24"/>
          <w:szCs w:val="24"/>
        </w:rPr>
      </w:pPr>
      <w:r>
        <w:rPr>
          <w:rFonts w:ascii="宋体" w:hAnsi="宋体" w:eastAsia="宋体"/>
          <w:sz w:val="24"/>
          <w:szCs w:val="24"/>
        </w:rPr>
        <w:t>(4) 可实现管理员实时查询PS报表数据的功能，系统可以自动根据现有人事数据生成表格</w:t>
      </w:r>
      <w:r>
        <w:rPr>
          <w:rFonts w:hint="eastAsia" w:ascii="宋体" w:hAnsi="宋体" w:eastAsia="宋体"/>
          <w:sz w:val="24"/>
          <w:szCs w:val="24"/>
        </w:rPr>
        <w:t>。</w:t>
      </w:r>
    </w:p>
    <w:p w14:paraId="293235C3">
      <w:pPr>
        <w:spacing w:line="360" w:lineRule="auto"/>
        <w:ind w:firstLine="480" w:firstLineChars="200"/>
        <w:rPr>
          <w:rFonts w:hint="eastAsia" w:ascii="宋体" w:hAnsi="宋体" w:eastAsia="宋体"/>
          <w:sz w:val="24"/>
          <w:szCs w:val="24"/>
        </w:rPr>
      </w:pPr>
      <w:r>
        <w:rPr>
          <w:rFonts w:ascii="宋体" w:hAnsi="宋体" w:eastAsia="宋体"/>
          <w:sz w:val="24"/>
          <w:szCs w:val="24"/>
        </w:rPr>
        <w:t>(5) 系统支持灵活定义报表横、纵轴标题内容；行、列统计条件</w:t>
      </w:r>
      <w:r>
        <w:rPr>
          <w:rFonts w:hint="eastAsia" w:ascii="宋体" w:hAnsi="宋体" w:eastAsia="宋体"/>
          <w:sz w:val="24"/>
          <w:szCs w:val="24"/>
        </w:rPr>
        <w:t>。</w:t>
      </w:r>
    </w:p>
    <w:p w14:paraId="064531D1">
      <w:pPr>
        <w:spacing w:line="360" w:lineRule="auto"/>
        <w:ind w:firstLine="480" w:firstLineChars="200"/>
        <w:rPr>
          <w:rFonts w:hint="eastAsia" w:ascii="宋体" w:hAnsi="宋体" w:eastAsia="宋体"/>
          <w:sz w:val="24"/>
          <w:szCs w:val="24"/>
        </w:rPr>
      </w:pPr>
      <w:r>
        <w:rPr>
          <w:rFonts w:ascii="宋体" w:hAnsi="宋体" w:eastAsia="宋体"/>
          <w:sz w:val="24"/>
          <w:szCs w:val="24"/>
        </w:rPr>
        <w:t>(6) 支持查询、下载通过当前数据生成的报表及历史数据报表，支持批量下载</w:t>
      </w:r>
      <w:r>
        <w:rPr>
          <w:rFonts w:hint="eastAsia" w:ascii="宋体" w:hAnsi="宋体" w:eastAsia="宋体"/>
          <w:sz w:val="24"/>
          <w:szCs w:val="24"/>
        </w:rPr>
        <w:t>。</w:t>
      </w:r>
    </w:p>
    <w:p w14:paraId="2794C657">
      <w:pPr>
        <w:adjustRightInd w:val="0"/>
        <w:snapToGrid w:val="0"/>
        <w:spacing w:line="360" w:lineRule="auto"/>
        <w:ind w:firstLine="241" w:firstLineChars="100"/>
        <w:rPr>
          <w:rFonts w:hint="eastAsia" w:ascii="宋体" w:hAnsi="宋体" w:eastAsia="宋体"/>
          <w:b/>
          <w:bCs/>
          <w:sz w:val="24"/>
          <w:szCs w:val="24"/>
        </w:rPr>
      </w:pPr>
      <w:r>
        <w:rPr>
          <w:rFonts w:ascii="宋体" w:hAnsi="宋体" w:eastAsia="宋体"/>
          <w:b/>
          <w:bCs/>
          <w:sz w:val="24"/>
          <w:szCs w:val="24"/>
        </w:rPr>
        <w:t>2.9</w:t>
      </w:r>
      <w:r>
        <w:rPr>
          <w:rFonts w:hint="eastAsia" w:ascii="宋体" w:hAnsi="宋体" w:eastAsia="宋体"/>
          <w:b/>
          <w:bCs/>
          <w:sz w:val="24"/>
          <w:szCs w:val="24"/>
        </w:rPr>
        <w:t>人事业务数据查询、统计与分析</w:t>
      </w:r>
    </w:p>
    <w:p w14:paraId="1189BFEA">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）系统需支持多维度、多层次的人事数据分析，分析方式支持查询、统计报表、图形分析等方式。</w:t>
      </w:r>
    </w:p>
    <w:p w14:paraId="6C94325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）系统需具备各类人事业务的数据分析，包含组织、人员、考勤、培训、支持、薪酬等的分析。</w:t>
      </w:r>
    </w:p>
    <w:p w14:paraId="0C5C5EF8">
      <w:pPr>
        <w:adjustRightInd w:val="0"/>
        <w:snapToGrid w:val="0"/>
        <w:spacing w:line="360" w:lineRule="auto"/>
        <w:ind w:firstLine="241" w:firstLineChars="100"/>
        <w:rPr>
          <w:rFonts w:hint="eastAsia" w:ascii="宋体" w:hAnsi="宋体" w:eastAsia="宋体"/>
          <w:b/>
          <w:bCs/>
          <w:sz w:val="24"/>
          <w:szCs w:val="24"/>
        </w:rPr>
      </w:pPr>
      <w:bookmarkStart w:id="24" w:name="_Toc28040"/>
      <w:r>
        <w:rPr>
          <w:rFonts w:ascii="宋体" w:hAnsi="宋体" w:eastAsia="宋体"/>
          <w:b/>
          <w:bCs/>
          <w:sz w:val="24"/>
          <w:szCs w:val="24"/>
        </w:rPr>
        <w:t>3.</w:t>
      </w:r>
      <w:r>
        <w:rPr>
          <w:rFonts w:hint="eastAsia" w:ascii="宋体" w:hAnsi="宋体" w:eastAsia="宋体"/>
          <w:b/>
          <w:bCs/>
          <w:sz w:val="24"/>
          <w:szCs w:val="24"/>
        </w:rPr>
        <w:t>移动</w:t>
      </w:r>
      <w:bookmarkEnd w:id="24"/>
      <w:r>
        <w:rPr>
          <w:rFonts w:hint="eastAsia" w:ascii="宋体" w:hAnsi="宋体" w:eastAsia="宋体"/>
          <w:b/>
          <w:bCs/>
          <w:sz w:val="24"/>
          <w:szCs w:val="24"/>
        </w:rPr>
        <w:t>应用</w:t>
      </w:r>
    </w:p>
    <w:p w14:paraId="4EB4137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（1）移动多端支持：</w:t>
      </w:r>
    </w:p>
    <w:p w14:paraId="6D5B2E4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系统支持APP、企业微信、钉钉等入口方式。</w:t>
      </w:r>
    </w:p>
    <w:p w14:paraId="5E0BD55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（2）移动消息提醒：</w:t>
      </w:r>
    </w:p>
    <w:p w14:paraId="0703C88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移动端具备各类消息提醒（流程提醒、公告提醒、督办提醒等）功能，并可在点击相应消息提醒时，自动打开对应的流程进行审批、对应的公告进行查看等。</w:t>
      </w:r>
    </w:p>
    <w:p w14:paraId="373030FE">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（3）移动通讯录：</w:t>
      </w:r>
    </w:p>
    <w:p w14:paraId="4ED44D3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1）系统具备通讯录功能，可从其中查询校内组织、部门、人员及相关信息（人员名称、工号、联系方式等）。</w:t>
      </w:r>
    </w:p>
    <w:p w14:paraId="41A3727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2）可支持点击人员信息卡片中的 电话或短信，直接拨打电话和发送短信。</w:t>
      </w:r>
    </w:p>
    <w:p w14:paraId="366A917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3）支持获取手机联系人功能，同步手机联系人。</w:t>
      </w:r>
    </w:p>
    <w:p w14:paraId="315AC34B">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4）支持学校组织、个人群组、我的关注功能。</w:t>
      </w:r>
    </w:p>
    <w:p w14:paraId="0202D7E9">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（4）即时通讯（IM）功能：</w:t>
      </w:r>
    </w:p>
    <w:p w14:paraId="4221B9F2">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1）支持校内即时通讯功能，可通过该功能与校内人员进行即时通讯</w:t>
      </w:r>
    </w:p>
    <w:p w14:paraId="22E74A8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2）支持校内、个人、工作组等自定义即时通讯群组建，群聊功能</w:t>
      </w:r>
    </w:p>
    <w:p w14:paraId="1E226D0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（5）移动工作台：</w:t>
      </w:r>
    </w:p>
    <w:p w14:paraId="29BCFBBC">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1）具备移动流程中心功能，包含待办事宜、已办事宜、我的请求、办结、新建流程、抄送流程、流程代理、流程督办等。</w:t>
      </w:r>
    </w:p>
    <w:p w14:paraId="52122780">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2）具备移动应用中心功能，可将人事系统中，各业务模块分类聚合，办理各类人事相关业务。</w:t>
      </w:r>
    </w:p>
    <w:p w14:paraId="1D8228ED">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3）具备报表中心功能，可将人事系统中，各类查询、统计报表，图形分析功能聚合其中。</w:t>
      </w:r>
    </w:p>
    <w:p w14:paraId="2568D441">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（4）个人中心：</w:t>
      </w:r>
    </w:p>
    <w:p w14:paraId="41A39861">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支持个人收藏、扫一扫登录系统、安全设置、语言设置、字体设置、定位设置、字体设置、个人信息、个人二维码等功能。</w:t>
      </w:r>
    </w:p>
    <w:p w14:paraId="3C19A81E">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（三）系统集成、对接</w:t>
      </w:r>
    </w:p>
    <w:p w14:paraId="3F53496F">
      <w:pPr>
        <w:adjustRightInd w:val="0"/>
        <w:snapToGrid w:val="0"/>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总体要求：需无条件与学校统一融合门户、数据中台、各业务系统无缝对接。</w:t>
      </w:r>
    </w:p>
    <w:p w14:paraId="79350C8D">
      <w:pPr>
        <w:adjustRightInd w:val="0"/>
        <w:snapToGrid w:val="0"/>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w:t>
      </w:r>
      <w:r>
        <w:rPr>
          <w:rFonts w:ascii="宋体" w:hAnsi="宋体" w:eastAsia="宋体"/>
          <w:bCs/>
          <w:sz w:val="24"/>
          <w:szCs w:val="24"/>
        </w:rPr>
        <w:t>与</w:t>
      </w:r>
      <w:r>
        <w:rPr>
          <w:rFonts w:hint="eastAsia" w:ascii="宋体" w:hAnsi="宋体" w:eastAsia="宋体"/>
          <w:bCs/>
          <w:sz w:val="24"/>
          <w:szCs w:val="24"/>
        </w:rPr>
        <w:t>统一融合门户、办事大厅接口开发</w:t>
      </w:r>
    </w:p>
    <w:p w14:paraId="032F664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需支持与学校统一门户、办事大厅集成，实现学校单点登录，嵌入统一待办，并将人事业务流程功能集成至办事大厅，如教职工请假流程、教职工加班流程等。</w:t>
      </w:r>
    </w:p>
    <w:p w14:paraId="4C735861">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数据中台接口开发</w:t>
      </w:r>
    </w:p>
    <w:p w14:paraId="00126FF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需支持与数据中台对接，同步人事相关数据（组织、部门、人员信息等），为学校提供人事数据唯一来源。</w:t>
      </w:r>
    </w:p>
    <w:p w14:paraId="5E5EF2DB">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4</w:t>
      </w:r>
      <w:r>
        <w:rPr>
          <w:rFonts w:hint="eastAsia" w:ascii="宋体" w:hAnsi="宋体" w:eastAsia="宋体"/>
          <w:sz w:val="24"/>
          <w:szCs w:val="24"/>
        </w:rPr>
        <w:t>.业务系统在其软件生命周期内能够实现对学校数据平台的系统（如教务、档案</w:t>
      </w:r>
      <w:r>
        <w:rPr>
          <w:rFonts w:ascii="宋体" w:hAnsi="宋体" w:eastAsia="宋体"/>
          <w:sz w:val="24"/>
          <w:szCs w:val="24"/>
        </w:rPr>
        <w:t>、</w:t>
      </w:r>
      <w:r>
        <w:rPr>
          <w:rFonts w:hint="eastAsia" w:ascii="宋体" w:hAnsi="宋体" w:eastAsia="宋体"/>
          <w:sz w:val="24"/>
          <w:szCs w:val="24"/>
        </w:rPr>
        <w:t>学工系统等）对接工作。</w:t>
      </w:r>
    </w:p>
    <w:p w14:paraId="7B97B35E">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.重点工作管理系统接口开发</w:t>
      </w:r>
    </w:p>
    <w:p w14:paraId="05C915A3">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 xml:space="preserve">  需支持与学校重点工作管理系统对接，获取其工作绩效数据，为财务薪酬核算提供相关信息。</w:t>
      </w:r>
    </w:p>
    <w:p w14:paraId="0E4FC4B1">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（四）人事业务数据梳理及期初录入</w:t>
      </w:r>
    </w:p>
    <w:p w14:paraId="25396FC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为保障人事系统切实、有效运行，达到人事业务管理目标，并为其他业务模块提供全面、真实、准确、及时的人事相关数据，需对学校以下方面数据进行相关材料的收集、信息的梳理与结构化处理、并录入人事系统。</w:t>
      </w:r>
    </w:p>
    <w:p w14:paraId="2782D97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负责完成将现有OA系统内人事相关工作的业务流程整体迁移至人事业务系统。</w:t>
      </w:r>
    </w:p>
    <w:p w14:paraId="61DDD42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1）组织架构信息数据梳理与系统录入</w:t>
      </w:r>
    </w:p>
    <w:p w14:paraId="16214DF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2）教职工人员基础信息数据梳理与系统录入</w:t>
      </w:r>
    </w:p>
    <w:p w14:paraId="16B8B621">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3）教职工人员学历学位信息数据梳理与系统录入</w:t>
      </w:r>
    </w:p>
    <w:p w14:paraId="472FC8B5">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4）教职工人员职称信息数据梳理与系统录入</w:t>
      </w:r>
    </w:p>
    <w:p w14:paraId="0F33B4D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5）教职工人员职级信息数据梳理与系统录入</w:t>
      </w:r>
    </w:p>
    <w:p w14:paraId="4DADD4A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6）教职工人员党政职务信息数据梳理与系统录入</w:t>
      </w:r>
    </w:p>
    <w:p w14:paraId="20C3F31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7）学校行政部门定岗定编表数据梳理与系统录入</w:t>
      </w:r>
    </w:p>
    <w:p w14:paraId="1852A7A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8）学校各单位定岗定编表数据梳理与系统录入</w:t>
      </w:r>
    </w:p>
    <w:p w14:paraId="35F799A0">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9）学校不同岗位基本工作量数据梳理与系统录入</w:t>
      </w:r>
    </w:p>
    <w:p w14:paraId="76CD59A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0</w:t>
      </w:r>
      <w:r>
        <w:rPr>
          <w:rFonts w:hint="eastAsia" w:ascii="宋体" w:hAnsi="宋体" w:eastAsia="宋体"/>
          <w:sz w:val="24"/>
          <w:szCs w:val="24"/>
        </w:rPr>
        <w:t>）人事基础信息数据表和业务规则数据表以及对于数据和规则录入系统</w:t>
      </w:r>
    </w:p>
    <w:p w14:paraId="3EF637C9">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（五）人事系统运维服务</w:t>
      </w:r>
    </w:p>
    <w:p w14:paraId="06C6F04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支持5年系统免费服务，服务内容如下：</w:t>
      </w:r>
    </w:p>
    <w:p w14:paraId="18FC16C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1.项目内系统功能的BUG修复。</w:t>
      </w:r>
    </w:p>
    <w:p w14:paraId="1A0395D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2.项目内系统流程的按需调整（流程表单、审批节点、审批人员及其他无需复杂代码实现的功能及业务调整）。</w:t>
      </w:r>
    </w:p>
    <w:p w14:paraId="1698D52B">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（六）人事管理文件分析、解读、结构化梳理服务</w:t>
      </w:r>
    </w:p>
    <w:p w14:paraId="0036879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1.支持系统上线后，5年内免费进行人事管理新产生的相关制度、要求及其他相关文件的分析、解读和结构化梳理服务。</w:t>
      </w:r>
    </w:p>
    <w:p w14:paraId="46FCBC2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2.文件结构化模板</w:t>
      </w:r>
    </w:p>
    <w:p w14:paraId="68CB9151">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五、商务要求：</w:t>
      </w:r>
    </w:p>
    <w:p w14:paraId="6492B48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1.成交供应商须在合同签订后提供完整的人事管理系统和档案管理系统建设实施方案，方案须经采购人审查通过后方可投入实施；</w:t>
      </w:r>
    </w:p>
    <w:p w14:paraId="6B2492A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2.成交供应商须在合同签订后90日内完成人事管理系统的开发、系统的部署实施及培训工作；</w:t>
      </w:r>
    </w:p>
    <w:p w14:paraId="751B1B4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3.投标人承诺中标后：承诺各功能及流程开发，直到满足南京审计大学金审学院实际使用需求为止。（投标人需提供盖章承诺书）；</w:t>
      </w:r>
    </w:p>
    <w:p w14:paraId="2BF29AD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4.本项目免费质保期至少五年以上（投标人需提供盖章承诺书），同时投标人中标后须提供所投人事管理系统开发原制造商针对本项目五年售后服务承诺函；</w:t>
      </w:r>
    </w:p>
    <w:p w14:paraId="152BAD96">
      <w:pPr>
        <w:adjustRightInd w:val="0"/>
        <w:snapToGrid w:val="0"/>
        <w:spacing w:line="360" w:lineRule="auto"/>
        <w:ind w:firstLine="241" w:firstLineChars="100"/>
        <w:rPr>
          <w:rFonts w:hint="eastAsia" w:ascii="宋体" w:hAnsi="宋体" w:eastAsia="宋体"/>
          <w:b/>
          <w:sz w:val="24"/>
          <w:szCs w:val="24"/>
        </w:rPr>
      </w:pPr>
      <w:r>
        <w:rPr>
          <w:rFonts w:hint="eastAsia" w:ascii="宋体" w:hAnsi="宋体" w:eastAsia="宋体"/>
          <w:b/>
          <w:sz w:val="24"/>
          <w:szCs w:val="24"/>
        </w:rPr>
        <w:t>六、付款方式</w:t>
      </w:r>
    </w:p>
    <w:p w14:paraId="47AF07CB">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1.交付时间：</w:t>
      </w:r>
    </w:p>
    <w:p w14:paraId="20CAC858">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合同签订后</w:t>
      </w:r>
      <w:r>
        <w:rPr>
          <w:rFonts w:ascii="宋体" w:hAnsi="宋体" w:eastAsia="宋体"/>
          <w:sz w:val="24"/>
          <w:szCs w:val="24"/>
        </w:rPr>
        <w:t>90</w:t>
      </w:r>
      <w:r>
        <w:rPr>
          <w:rFonts w:hint="eastAsia" w:ascii="宋体" w:hAnsi="宋体" w:eastAsia="宋体"/>
          <w:sz w:val="24"/>
          <w:szCs w:val="24"/>
        </w:rPr>
        <w:t>日内。</w:t>
      </w:r>
    </w:p>
    <w:p w14:paraId="1E74AA64">
      <w:p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2.付款条件：</w:t>
      </w:r>
    </w:p>
    <w:p w14:paraId="7CB990AC">
      <w:pPr>
        <w:spacing w:line="360" w:lineRule="auto"/>
        <w:ind w:firstLine="480" w:firstLineChars="200"/>
        <w:rPr>
          <w:rFonts w:hint="eastAsia" w:ascii="宋体" w:hAnsi="宋体" w:eastAsia="宋体" w:cs="宋体"/>
          <w:kern w:val="0"/>
          <w:sz w:val="24"/>
          <w:szCs w:val="24"/>
        </w:rPr>
      </w:pPr>
      <w:bookmarkStart w:id="25" w:name="_Toc451844573"/>
      <w:bookmarkStart w:id="26" w:name="_Toc313869303"/>
      <w:bookmarkStart w:id="27" w:name="_Toc313869078"/>
      <w:r>
        <w:rPr>
          <w:rFonts w:hint="eastAsia" w:ascii="宋体" w:hAnsi="宋体" w:eastAsia="宋体" w:cs="宋体"/>
          <w:kern w:val="0"/>
          <w:sz w:val="24"/>
          <w:szCs w:val="24"/>
        </w:rPr>
        <w:t>项目调试实施完成并经验收合格后采购人支付到合同金额的95%，余款5%质保期满后免息支付。</w:t>
      </w:r>
    </w:p>
    <w:bookmarkEnd w:id="25"/>
    <w:bookmarkEnd w:id="26"/>
    <w:bookmarkEnd w:id="27"/>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8"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28"/>
    </w:p>
    <w:p w14:paraId="02BE9679">
      <w:pPr>
        <w:pStyle w:val="28"/>
        <w:spacing w:before="120" w:after="120" w:line="360" w:lineRule="auto"/>
        <w:ind w:firstLine="420"/>
        <w:rPr>
          <w:rFonts w:hint="eastAsia" w:hAnsi="宋体"/>
        </w:rPr>
      </w:pPr>
      <w:r>
        <w:rPr>
          <w:rFonts w:hint="eastAsia" w:hAnsi="宋体"/>
        </w:rPr>
        <w:t>以下为中标后签定本项目合同的通用条款，中标人不得提出实质性的修改，关于专用条款将由采购人与中标人结合本项目具体情况协商后签订。</w:t>
      </w:r>
    </w:p>
    <w:p w14:paraId="649F42DF">
      <w:pPr>
        <w:pStyle w:val="28"/>
        <w:spacing w:before="120" w:after="120" w:line="360" w:lineRule="auto"/>
        <w:ind w:firstLine="422"/>
        <w:jc w:val="center"/>
        <w:rPr>
          <w:rFonts w:hint="eastAsia" w:hAnsi="宋体" w:cs="宋体"/>
          <w:b/>
          <w:bCs/>
        </w:rPr>
      </w:pPr>
      <w:r>
        <w:rPr>
          <w:rFonts w:hint="eastAsia" w:hAnsi="宋体" w:cs="宋体"/>
          <w:b/>
          <w:bCs/>
        </w:rPr>
        <w:t>采购合同（货物)（合同编号）</w:t>
      </w:r>
    </w:p>
    <w:p w14:paraId="4CD55794">
      <w:pPr>
        <w:pStyle w:val="28"/>
        <w:spacing w:before="120" w:after="120" w:line="360" w:lineRule="auto"/>
        <w:ind w:firstLine="420"/>
        <w:rPr>
          <w:rFonts w:hint="eastAsia" w:hAnsi="宋体" w:cs="宋体"/>
        </w:rPr>
      </w:pPr>
      <w:r>
        <w:rPr>
          <w:rFonts w:hint="eastAsia" w:hAnsi="宋体" w:cs="宋体"/>
        </w:rPr>
        <w:t>项目名称：</w:t>
      </w:r>
    </w:p>
    <w:p w14:paraId="2F8DAF32">
      <w:pPr>
        <w:pStyle w:val="28"/>
        <w:spacing w:before="120" w:after="120" w:line="360" w:lineRule="auto"/>
        <w:ind w:firstLine="420"/>
        <w:rPr>
          <w:rFonts w:hint="eastAsia" w:hAnsi="宋体" w:cs="宋体"/>
        </w:rPr>
      </w:pPr>
      <w:r>
        <w:rPr>
          <w:rFonts w:hint="eastAsia" w:hAnsi="宋体" w:cs="宋体"/>
        </w:rPr>
        <w:t>项目编号：</w:t>
      </w:r>
    </w:p>
    <w:p w14:paraId="6986D040">
      <w:pPr>
        <w:pStyle w:val="28"/>
        <w:spacing w:before="120" w:after="120" w:line="360" w:lineRule="auto"/>
        <w:ind w:firstLine="420"/>
        <w:rPr>
          <w:rFonts w:hint="eastAsia" w:hAnsi="宋体" w:cs="宋体"/>
        </w:rPr>
      </w:pPr>
      <w:r>
        <w:rPr>
          <w:rFonts w:hint="eastAsia" w:hAnsi="宋体" w:cs="宋体"/>
        </w:rPr>
        <w:t>甲方：（买方）_________</w:t>
      </w:r>
    </w:p>
    <w:p w14:paraId="73F02534">
      <w:pPr>
        <w:pStyle w:val="28"/>
        <w:spacing w:before="120" w:after="120" w:line="360" w:lineRule="auto"/>
        <w:ind w:firstLine="420"/>
        <w:rPr>
          <w:rFonts w:hint="eastAsia" w:hAnsi="宋体" w:cs="宋体"/>
        </w:rPr>
      </w:pPr>
      <w:r>
        <w:rPr>
          <w:rFonts w:hint="eastAsia" w:hAnsi="宋体" w:cs="宋体"/>
        </w:rPr>
        <w:t>乙方：（卖方）_________</w:t>
      </w:r>
    </w:p>
    <w:p w14:paraId="5ED022B1">
      <w:pPr>
        <w:pStyle w:val="28"/>
        <w:spacing w:before="120" w:after="120" w:line="360" w:lineRule="auto"/>
        <w:ind w:firstLine="420"/>
        <w:rPr>
          <w:rFonts w:hint="eastAsia" w:hAnsi="宋体" w:cs="宋体"/>
        </w:rPr>
      </w:pPr>
      <w:r>
        <w:rPr>
          <w:rFonts w:hint="eastAsia" w:hAnsi="宋体" w:cs="宋体"/>
        </w:rPr>
        <w:t>甲、乙双方根据</w:t>
      </w:r>
      <w:r>
        <w:rPr>
          <w:rFonts w:hint="eastAsia" w:hAnsi="宋体" w:cs="宋体"/>
          <w:u w:val="single"/>
        </w:rPr>
        <w:t xml:space="preserve">                       </w:t>
      </w:r>
      <w:r>
        <w:rPr>
          <w:rFonts w:hint="eastAsia" w:hAnsi="宋体" w:cs="宋体"/>
        </w:rPr>
        <w:t>项目公开招标的结果，签署本合同。</w:t>
      </w:r>
    </w:p>
    <w:p w14:paraId="7DBBCCAD">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w:t>
      </w:r>
      <w:r>
        <w:rPr>
          <w:rFonts w:ascii="宋体" w:hAnsi="宋体" w:eastAsia="宋体"/>
          <w:sz w:val="24"/>
          <w:szCs w:val="24"/>
        </w:rPr>
        <w:t>中华人民共和国民法典</w:t>
      </w:r>
      <w:r>
        <w:rPr>
          <w:rFonts w:hint="eastAsia" w:ascii="宋体" w:hAnsi="宋体" w:eastAsia="宋体"/>
          <w:sz w:val="24"/>
          <w:szCs w:val="24"/>
        </w:rPr>
        <w:t>》等法律法规的规定，甲乙双方按照招标代理机构的招标结果签订本合同。</w:t>
      </w:r>
    </w:p>
    <w:p w14:paraId="28A7F3EC">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第一条 合同标的</w:t>
      </w:r>
      <w:r>
        <w:rPr>
          <w:rFonts w:hint="eastAsia" w:ascii="宋体" w:hAnsi="宋体" w:eastAsia="宋体"/>
          <w:sz w:val="24"/>
          <w:szCs w:val="24"/>
        </w:rPr>
        <w:t xml:space="preserve">  </w:t>
      </w:r>
    </w:p>
    <w:p w14:paraId="4E456DF0">
      <w:pPr>
        <w:autoSpaceDE w:val="0"/>
        <w:autoSpaceDN w:val="0"/>
        <w:adjustRightInd w:val="0"/>
        <w:spacing w:line="360" w:lineRule="auto"/>
        <w:ind w:firstLine="480" w:firstLineChars="200"/>
        <w:rPr>
          <w:rFonts w:hint="eastAsia" w:ascii="宋体" w:hAnsi="宋体" w:eastAsia="宋体"/>
          <w:sz w:val="24"/>
          <w:szCs w:val="24"/>
          <w:u w:val="single"/>
        </w:rPr>
      </w:pPr>
      <w:r>
        <w:rPr>
          <w:rFonts w:hint="eastAsia" w:ascii="宋体" w:hAnsi="宋体" w:eastAsia="宋体"/>
          <w:sz w:val="24"/>
          <w:szCs w:val="24"/>
        </w:rPr>
        <w:t>1、乙方根据甲方需求提供下列服务：</w:t>
      </w:r>
      <w:r>
        <w:rPr>
          <w:rFonts w:hint="eastAsia" w:ascii="宋体" w:hAnsi="宋体" w:eastAsia="宋体"/>
          <w:sz w:val="24"/>
          <w:szCs w:val="24"/>
          <w:u w:val="single"/>
        </w:rPr>
        <w:t xml:space="preserve">                             </w:t>
      </w:r>
      <w:r>
        <w:rPr>
          <w:rFonts w:hint="eastAsia" w:ascii="宋体" w:hAnsi="宋体" w:eastAsia="宋体"/>
          <w:sz w:val="24"/>
          <w:szCs w:val="24"/>
        </w:rPr>
        <w:t>。</w:t>
      </w:r>
    </w:p>
    <w:p w14:paraId="58977BC9">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2、具体服务执行要求详见乙方投标文件。</w:t>
      </w:r>
    </w:p>
    <w:p w14:paraId="4674A19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第二条 合同总价款</w:t>
      </w:r>
    </w:p>
    <w:p w14:paraId="0366FF76">
      <w:pPr>
        <w:autoSpaceDE w:val="0"/>
        <w:autoSpaceDN w:val="0"/>
        <w:adjustRightInd w:val="0"/>
        <w:spacing w:line="360" w:lineRule="auto"/>
        <w:ind w:firstLine="240" w:firstLineChars="100"/>
        <w:jc w:val="left"/>
        <w:rPr>
          <w:rFonts w:hint="eastAsia" w:ascii="宋体" w:hAnsi="宋体" w:eastAsia="宋体"/>
          <w:sz w:val="24"/>
          <w:szCs w:val="24"/>
        </w:rPr>
      </w:pPr>
      <w:r>
        <w:rPr>
          <w:rFonts w:hint="eastAsia" w:ascii="宋体" w:hAnsi="宋体" w:eastAsia="宋体"/>
          <w:sz w:val="24"/>
          <w:szCs w:val="24"/>
        </w:rPr>
        <w:t xml:space="preserve">  1、本合同项下服务总价款为___________（大写）人民币，分项价款在乙方“投标文件价格部分”中有明确规定。</w:t>
      </w:r>
    </w:p>
    <w:p w14:paraId="216305CB">
      <w:pPr>
        <w:spacing w:line="360" w:lineRule="auto"/>
        <w:ind w:firstLine="480" w:firstLineChars="200"/>
        <w:rPr>
          <w:rFonts w:hint="eastAsia" w:ascii="宋体" w:hAnsi="宋体" w:eastAsia="宋体"/>
          <w:b/>
          <w:sz w:val="24"/>
          <w:szCs w:val="24"/>
        </w:rPr>
      </w:pPr>
      <w:r>
        <w:rPr>
          <w:rFonts w:hint="eastAsia" w:ascii="宋体" w:hAnsi="宋体" w:eastAsia="宋体"/>
          <w:sz w:val="24"/>
          <w:szCs w:val="24"/>
        </w:rPr>
        <w:t>2、本合同总价款是完成本项目所发生的所有含税费用、支付给员工的工资和国家强制缴纳的各种社会保障资金</w:t>
      </w:r>
      <w:r>
        <w:rPr>
          <w:rFonts w:hint="eastAsia" w:ascii="宋体" w:hAnsi="宋体" w:eastAsia="宋体"/>
          <w:bCs/>
          <w:sz w:val="24"/>
          <w:szCs w:val="24"/>
        </w:rPr>
        <w:t>，以</w:t>
      </w:r>
      <w:r>
        <w:rPr>
          <w:rFonts w:hint="eastAsia" w:ascii="宋体" w:hAnsi="宋体" w:eastAsia="宋体"/>
          <w:sz w:val="24"/>
          <w:szCs w:val="24"/>
        </w:rPr>
        <w:t>及乙方认为需要的其他费用等。</w:t>
      </w:r>
    </w:p>
    <w:p w14:paraId="6EE211DD">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3、本合同执行期间合同总价款不变。</w:t>
      </w:r>
    </w:p>
    <w:p w14:paraId="71D4324F">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第三条 组成本合同的有关文件</w:t>
      </w:r>
      <w:r>
        <w:rPr>
          <w:rFonts w:hint="eastAsia" w:ascii="宋体" w:hAnsi="宋体" w:eastAsia="宋体"/>
          <w:sz w:val="24"/>
          <w:szCs w:val="24"/>
        </w:rPr>
        <w:t xml:space="preserve">  </w:t>
      </w:r>
    </w:p>
    <w:p w14:paraId="749AF79C">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下列关于</w:t>
      </w:r>
      <w:r>
        <w:rPr>
          <w:rFonts w:hint="eastAsia" w:ascii="宋体" w:hAnsi="宋体" w:eastAsia="宋体"/>
          <w:sz w:val="24"/>
          <w:szCs w:val="24"/>
          <w:u w:val="single"/>
        </w:rPr>
        <w:t xml:space="preserve">    </w:t>
      </w:r>
      <w:r>
        <w:rPr>
          <w:rFonts w:hint="eastAsia" w:ascii="宋体" w:hAnsi="宋体" w:eastAsia="宋体"/>
          <w:sz w:val="24"/>
          <w:szCs w:val="24"/>
        </w:rPr>
        <w:t>标的招投标文件或与本次采购活动方式相适应的文件及有关附件是本合同不可分割的组成部分，与本合同具有同等法律效力，这些文件包括但不限于：</w:t>
      </w:r>
    </w:p>
    <w:p w14:paraId="7819FFB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1、乙方提供的投标文件和投标文件价格部分；</w:t>
      </w:r>
    </w:p>
    <w:p w14:paraId="187362C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2、技术条款偏离表；</w:t>
      </w:r>
    </w:p>
    <w:p w14:paraId="1DA028CF">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3、投标承诺/服务承诺；</w:t>
      </w:r>
    </w:p>
    <w:p w14:paraId="244A448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4、中标通知书；</w:t>
      </w:r>
    </w:p>
    <w:p w14:paraId="503297EC">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5、甲乙双方商定的其他文件等。</w:t>
      </w:r>
    </w:p>
    <w:p w14:paraId="3FFB262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第四条 权利保证</w:t>
      </w:r>
    </w:p>
    <w:p w14:paraId="20F2A15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乙方应保证甲方在使用该服务或其任何一部分时不受第三方提出侵犯其专利权、版权、商标权或其他权利的起诉。一旦出现侵权，乙方应承担全部责任。</w:t>
      </w:r>
    </w:p>
    <w:p w14:paraId="17239EC2">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第五条 质量保证</w:t>
      </w:r>
    </w:p>
    <w:p w14:paraId="4C8E3565">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乙方所提供的服务的技术规格应与招标文件规定的技术规格及投标文件所附的“技术条款偏离表”相一致；若技术性能无特殊说明，则按国家有关部门最新颁布的标准及规范为准。</w:t>
      </w:r>
    </w:p>
    <w:p w14:paraId="06A33105">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第六条 交付和验收</w:t>
      </w:r>
    </w:p>
    <w:p w14:paraId="3D9C51AD">
      <w:pPr>
        <w:autoSpaceDE w:val="0"/>
        <w:autoSpaceDN w:val="0"/>
        <w:adjustRightInd w:val="0"/>
        <w:spacing w:line="360" w:lineRule="auto"/>
        <w:ind w:firstLine="480" w:firstLineChars="200"/>
        <w:jc w:val="left"/>
        <w:rPr>
          <w:rFonts w:hint="eastAsia" w:ascii="宋体" w:hAnsi="宋体" w:eastAsia="宋体"/>
          <w:sz w:val="24"/>
          <w:szCs w:val="24"/>
          <w:u w:val="single"/>
        </w:rPr>
      </w:pPr>
      <w:r>
        <w:rPr>
          <w:rFonts w:hint="eastAsia" w:ascii="宋体" w:hAnsi="宋体" w:eastAsia="宋体"/>
          <w:sz w:val="24"/>
          <w:szCs w:val="24"/>
        </w:rPr>
        <w:t>1、乙方应当在</w:t>
      </w:r>
      <w:r>
        <w:rPr>
          <w:rFonts w:hint="eastAsia" w:ascii="宋体" w:hAnsi="宋体" w:eastAsia="宋体"/>
          <w:bCs/>
          <w:sz w:val="24"/>
          <w:szCs w:val="24"/>
        </w:rPr>
        <w:t>合同签订后</w:t>
      </w:r>
      <w:r>
        <w:rPr>
          <w:rFonts w:hint="eastAsia" w:ascii="宋体" w:hAnsi="宋体" w:eastAsia="宋体"/>
          <w:bCs/>
          <w:sz w:val="24"/>
          <w:szCs w:val="24"/>
          <w:u w:val="single"/>
        </w:rPr>
        <w:t xml:space="preserve">    </w:t>
      </w:r>
      <w:r>
        <w:rPr>
          <w:rFonts w:hint="eastAsia" w:ascii="宋体" w:hAnsi="宋体" w:eastAsia="宋体"/>
          <w:bCs/>
          <w:sz w:val="24"/>
          <w:szCs w:val="24"/>
        </w:rPr>
        <w:t>天内</w:t>
      </w:r>
      <w:r>
        <w:rPr>
          <w:rFonts w:hint="eastAsia" w:ascii="宋体" w:hAnsi="宋体" w:eastAsia="宋体"/>
          <w:sz w:val="24"/>
          <w:szCs w:val="24"/>
        </w:rPr>
        <w:t>完成服务事项。</w:t>
      </w:r>
    </w:p>
    <w:p w14:paraId="30F630EA">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2、验收标准：按行业通行标准和乙方投标文件的承诺（不低于国家相关标准）。</w:t>
      </w:r>
    </w:p>
    <w:p w14:paraId="6FBF5D64">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第七条 履约保证金</w:t>
      </w:r>
    </w:p>
    <w:p w14:paraId="1B6EC41C">
      <w:pPr>
        <w:autoSpaceDE w:val="0"/>
        <w:autoSpaceDN w:val="0"/>
        <w:adjustRightInd w:val="0"/>
        <w:spacing w:line="360" w:lineRule="auto"/>
        <w:ind w:firstLine="480" w:firstLineChars="200"/>
        <w:jc w:val="left"/>
        <w:rPr>
          <w:rFonts w:hint="eastAsia" w:ascii="宋体" w:hAnsi="宋体" w:eastAsia="宋体"/>
          <w:i/>
          <w:iCs/>
          <w:sz w:val="24"/>
          <w:szCs w:val="24"/>
        </w:rPr>
      </w:pPr>
      <w:r>
        <w:rPr>
          <w:rFonts w:hint="eastAsia" w:ascii="宋体" w:hAnsi="宋体" w:eastAsia="宋体"/>
          <w:sz w:val="24"/>
          <w:szCs w:val="24"/>
        </w:rPr>
        <w:t>1、无。</w:t>
      </w:r>
    </w:p>
    <w:p w14:paraId="0366268A">
      <w:pPr>
        <w:autoSpaceDE w:val="0"/>
        <w:autoSpaceDN w:val="0"/>
        <w:adjustRightInd w:val="0"/>
        <w:spacing w:line="360" w:lineRule="auto"/>
        <w:ind w:firstLine="482" w:firstLineChars="200"/>
        <w:jc w:val="left"/>
        <w:rPr>
          <w:rFonts w:hint="eastAsia" w:ascii="宋体" w:hAnsi="宋体" w:eastAsia="宋体"/>
          <w:b/>
          <w:bCs/>
          <w:i/>
          <w:iCs/>
          <w:sz w:val="24"/>
          <w:szCs w:val="24"/>
        </w:rPr>
      </w:pPr>
      <w:r>
        <w:rPr>
          <w:rFonts w:hint="eastAsia" w:ascii="宋体" w:hAnsi="宋体" w:eastAsia="宋体"/>
          <w:b/>
          <w:bCs/>
          <w:sz w:val="24"/>
          <w:szCs w:val="24"/>
        </w:rPr>
        <w:t>第八条 合同款支付</w:t>
      </w:r>
    </w:p>
    <w:p w14:paraId="00E130BD">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、本合同项下所有款项均以人民币支付。</w:t>
      </w:r>
    </w:p>
    <w:p w14:paraId="5A176367">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、本合同项下的采购资金由甲方自行支付，乙方向甲方开具发票。</w:t>
      </w:r>
    </w:p>
    <w:p w14:paraId="4E4D4EB8">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、付款条件：项目调试实施完成并经验收合格后采购人支付到合同金额的95%，余款5%一年后免息支付。</w:t>
      </w:r>
    </w:p>
    <w:p w14:paraId="06D1C828">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第九条 违约责任</w:t>
      </w:r>
    </w:p>
    <w:p w14:paraId="38F85B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1、甲方无正当理由拒收服务、拒付服务款的，由甲方向乙方偿付合同总价的5%违约金。</w:t>
      </w:r>
    </w:p>
    <w:p w14:paraId="2AE6CD4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2、甲方未按合同规定的期限向乙方支付服务款的，每逾期1天甲方向乙方偿付欠款总额的5‰滞纳金，但累计滞纳金总额不超过欠款总额的5% 。</w:t>
      </w:r>
    </w:p>
    <w:p w14:paraId="735E9FD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3、如乙方不能交付服务、完成安装调试的，乙方应向甲方支付合同总价5%的违约金。</w:t>
      </w:r>
    </w:p>
    <w:p w14:paraId="1026128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4、乙方逾期交付的，每逾期1天，乙方向甲方偿付合同总额的5‰的滞纳金。如乙方逾期交付达10天，甲方有权解除合同，解除合同的通知自到达乙方时生效。</w:t>
      </w:r>
    </w:p>
    <w:p w14:paraId="1FA0C93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5、乙方所交付的服务不符合合同规定的，甲方有权拒收。甲方拒收的，乙方应向甲方支付合同总款5%的违约金。甲方未拒收的，招标代理机构发现后将向有关部门反映，并责成乙方按照采购结果提供服务。</w:t>
      </w:r>
    </w:p>
    <w:p w14:paraId="7653069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A317625">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7、乙方未按本合同的规定和“服务承诺”提供伴随服务/售后服务的，应按合同总价款的5%向甲方承担违约责任。</w:t>
      </w:r>
    </w:p>
    <w:p w14:paraId="068E63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8、乙方在承担上述4-7款一项或多项违约责任后，仍应继续履行合同规定的义务（甲方解除合同的除外）。甲方未能及时追究乙方的任何一项违约责任并不表明甲方放弃追究乙方该项或其他违约责任。</w:t>
      </w:r>
    </w:p>
    <w:p w14:paraId="1F977AB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9、乙方投标属虚假承诺，或经权威部门监测提供的服务不能满足招标文件要求，或是由于乙方的过错造成合同无法继续履行的，乙方应向甲方支付不少于合同总价30%赔偿金。</w:t>
      </w:r>
    </w:p>
    <w:p w14:paraId="114B0CF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第十条 项目履约验收</w:t>
      </w:r>
    </w:p>
    <w:p w14:paraId="073CC40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1、甲方有权对乙方项目实施执行过程及完成结果进行履约验收；</w:t>
      </w:r>
    </w:p>
    <w:p w14:paraId="413852A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2、甲方可以邀请参加本项目的其他供应商或者第三方机构参与验收，乙方应积极配合并响应；</w:t>
      </w:r>
    </w:p>
    <w:p w14:paraId="28C68C0F">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3、参与验收的供应商或者第三方机构的意见作为验收书的参考资料一并存档。</w:t>
      </w:r>
    </w:p>
    <w:p w14:paraId="63F7DD4F">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第十一条 合同的变更和终止</w:t>
      </w:r>
    </w:p>
    <w:p w14:paraId="36F212F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1、本合同一经签订，甲乙双方不得擅自变更、中止或终止合同。</w:t>
      </w:r>
    </w:p>
    <w:p w14:paraId="7FCD68F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2、除发生法律规定的不能预见、不能避免并不能克服的客观情况外，甲乙双方不得放弃或拒绝履行合同。</w:t>
      </w:r>
    </w:p>
    <w:p w14:paraId="0640952A">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第十二条 合同的转让</w:t>
      </w:r>
    </w:p>
    <w:p w14:paraId="76A72008">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乙方不得擅自部分或全部转让其应履行的合同义务。</w:t>
      </w:r>
    </w:p>
    <w:p w14:paraId="0484C07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第十三条 争议的解决</w:t>
      </w:r>
    </w:p>
    <w:p w14:paraId="73D7EB3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1、因服务的质量问题发生争议的，应当邀请国家认可的质量检测机构对服务质量进行鉴定。符合标准的，鉴定费由甲方承担；不符合质量标准的，鉴定费由乙方承担。</w:t>
      </w:r>
    </w:p>
    <w:p w14:paraId="3D66BAD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2、因履行本合同引起的或与本合同有关的争议，甲、乙双方应首先通过友好协商解决，如果协商不能解决争议，则采取以下第（ ）种方式解决争议：</w:t>
      </w:r>
    </w:p>
    <w:p w14:paraId="291A0C97">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（1）向甲方所在地有管辖权的人民法院提起诉讼；</w:t>
      </w:r>
    </w:p>
    <w:p w14:paraId="6761D1D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（2）向南京仲裁委员会按其仲裁规则申请仲裁。</w:t>
      </w:r>
    </w:p>
    <w:p w14:paraId="2EBB64B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如没有约定，默认采取第2种方式解决争议。</w:t>
      </w:r>
    </w:p>
    <w:p w14:paraId="6614A5BD">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3、在仲裁期间，本合同应继续履行。</w:t>
      </w:r>
    </w:p>
    <w:p w14:paraId="41271FE6">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 xml:space="preserve">第十四条 诚实信用 </w:t>
      </w:r>
    </w:p>
    <w:p w14:paraId="14FF8509">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乙方应诚实信用，严格按照招标文件要求和投标承诺履行合同，不向甲方进行商业贿赂或者提供不正当利益。</w:t>
      </w:r>
    </w:p>
    <w:p w14:paraId="299F72E0">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第十五条 合同生效及其他</w:t>
      </w:r>
    </w:p>
    <w:p w14:paraId="6506D59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1、本合同自签订之日起生效。</w:t>
      </w:r>
    </w:p>
    <w:p w14:paraId="523CD00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2、本合同一式肆份，甲乙双方各执贰份。</w:t>
      </w:r>
    </w:p>
    <w:p w14:paraId="0204A18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3、本合同应按照中华人民共和国的现行法律进行解释。</w:t>
      </w:r>
    </w:p>
    <w:p w14:paraId="605857C4">
      <w:pPr>
        <w:pStyle w:val="28"/>
        <w:spacing w:before="120" w:after="120" w:line="360" w:lineRule="auto"/>
        <w:ind w:firstLine="420"/>
        <w:rPr>
          <w:rFonts w:hint="eastAsia" w:hAnsi="宋体" w:cs="宋体"/>
        </w:rPr>
      </w:pPr>
      <w:r>
        <w:rPr>
          <w:rFonts w:hint="eastAsia" w:hAnsi="宋体" w:cs="宋体"/>
        </w:rPr>
        <w:t>。</w:t>
      </w:r>
    </w:p>
    <w:tbl>
      <w:tblPr>
        <w:tblStyle w:val="58"/>
        <w:tblW w:w="8522" w:type="dxa"/>
        <w:tblInd w:w="135" w:type="dxa"/>
        <w:tblLayout w:type="fixed"/>
        <w:tblCellMar>
          <w:top w:w="0" w:type="dxa"/>
          <w:left w:w="108" w:type="dxa"/>
          <w:bottom w:w="0" w:type="dxa"/>
          <w:right w:w="108" w:type="dxa"/>
        </w:tblCellMar>
      </w:tblPr>
      <w:tblGrid>
        <w:gridCol w:w="4284"/>
        <w:gridCol w:w="4238"/>
      </w:tblGrid>
      <w:tr w14:paraId="2A9CE746">
        <w:tblPrEx>
          <w:tblCellMar>
            <w:top w:w="0" w:type="dxa"/>
            <w:left w:w="108" w:type="dxa"/>
            <w:bottom w:w="0" w:type="dxa"/>
            <w:right w:w="108" w:type="dxa"/>
          </w:tblCellMar>
        </w:tblPrEx>
        <w:tc>
          <w:tcPr>
            <w:tcW w:w="4284" w:type="dxa"/>
          </w:tcPr>
          <w:p w14:paraId="382BEAD2">
            <w:pPr>
              <w:pStyle w:val="28"/>
              <w:spacing w:before="120" w:after="120" w:line="360" w:lineRule="auto"/>
              <w:rPr>
                <w:rFonts w:hint="eastAsia" w:hAnsi="宋体" w:cstheme="minorBidi"/>
                <w:sz w:val="22"/>
                <w:szCs w:val="22"/>
              </w:rPr>
            </w:pPr>
            <w:r>
              <w:rPr>
                <w:rFonts w:hint="eastAsia" w:hAnsi="宋体" w:cstheme="minorBidi"/>
                <w:sz w:val="22"/>
                <w:szCs w:val="22"/>
              </w:rPr>
              <w:t>甲方：</w:t>
            </w:r>
          </w:p>
        </w:tc>
        <w:tc>
          <w:tcPr>
            <w:tcW w:w="4238" w:type="dxa"/>
          </w:tcPr>
          <w:p w14:paraId="07DC545B">
            <w:pPr>
              <w:pStyle w:val="28"/>
              <w:spacing w:before="120" w:after="120" w:line="360" w:lineRule="auto"/>
              <w:rPr>
                <w:rFonts w:hint="eastAsia" w:hAnsi="宋体" w:cstheme="minorBidi"/>
                <w:sz w:val="22"/>
                <w:szCs w:val="22"/>
              </w:rPr>
            </w:pPr>
            <w:r>
              <w:rPr>
                <w:rFonts w:hint="eastAsia" w:hAnsi="宋体" w:cstheme="minorBidi"/>
                <w:sz w:val="22"/>
                <w:szCs w:val="22"/>
              </w:rPr>
              <w:t>乙方：</w:t>
            </w:r>
          </w:p>
        </w:tc>
      </w:tr>
      <w:tr w14:paraId="7190CABE">
        <w:tblPrEx>
          <w:tblCellMar>
            <w:top w:w="0" w:type="dxa"/>
            <w:left w:w="108" w:type="dxa"/>
            <w:bottom w:w="0" w:type="dxa"/>
            <w:right w:w="108" w:type="dxa"/>
          </w:tblCellMar>
        </w:tblPrEx>
        <w:tc>
          <w:tcPr>
            <w:tcW w:w="4284" w:type="dxa"/>
          </w:tcPr>
          <w:p w14:paraId="60613574">
            <w:pPr>
              <w:pStyle w:val="28"/>
              <w:spacing w:before="120" w:after="120" w:line="360" w:lineRule="auto"/>
              <w:rPr>
                <w:rFonts w:hint="eastAsia" w:hAnsi="宋体" w:cstheme="minorBidi"/>
                <w:sz w:val="22"/>
                <w:szCs w:val="22"/>
              </w:rPr>
            </w:pPr>
            <w:r>
              <w:rPr>
                <w:rFonts w:hint="eastAsia" w:hAnsi="宋体" w:cstheme="minorBidi"/>
                <w:sz w:val="22"/>
                <w:szCs w:val="22"/>
              </w:rPr>
              <w:t>地址：</w:t>
            </w:r>
          </w:p>
        </w:tc>
        <w:tc>
          <w:tcPr>
            <w:tcW w:w="4238" w:type="dxa"/>
          </w:tcPr>
          <w:p w14:paraId="0C4C98DB">
            <w:pPr>
              <w:pStyle w:val="28"/>
              <w:spacing w:before="120" w:after="120" w:line="360" w:lineRule="auto"/>
              <w:rPr>
                <w:rFonts w:hint="eastAsia" w:hAnsi="宋体" w:cstheme="minorBidi"/>
                <w:sz w:val="22"/>
                <w:szCs w:val="22"/>
              </w:rPr>
            </w:pPr>
            <w:r>
              <w:rPr>
                <w:rFonts w:hint="eastAsia" w:hAnsi="宋体" w:cstheme="minorBidi"/>
                <w:sz w:val="22"/>
                <w:szCs w:val="22"/>
              </w:rPr>
              <w:t>地址：</w:t>
            </w:r>
          </w:p>
        </w:tc>
      </w:tr>
      <w:tr w14:paraId="37AB29C1">
        <w:tblPrEx>
          <w:tblCellMar>
            <w:top w:w="0" w:type="dxa"/>
            <w:left w:w="108" w:type="dxa"/>
            <w:bottom w:w="0" w:type="dxa"/>
            <w:right w:w="108" w:type="dxa"/>
          </w:tblCellMar>
        </w:tblPrEx>
        <w:tc>
          <w:tcPr>
            <w:tcW w:w="4284" w:type="dxa"/>
          </w:tcPr>
          <w:p w14:paraId="5ABEDC46">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c>
          <w:tcPr>
            <w:tcW w:w="4238" w:type="dxa"/>
          </w:tcPr>
          <w:p w14:paraId="67155001">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r>
      <w:tr w14:paraId="40B001C2">
        <w:tblPrEx>
          <w:tblCellMar>
            <w:top w:w="0" w:type="dxa"/>
            <w:left w:w="108" w:type="dxa"/>
            <w:bottom w:w="0" w:type="dxa"/>
            <w:right w:w="108" w:type="dxa"/>
          </w:tblCellMar>
        </w:tblPrEx>
        <w:tc>
          <w:tcPr>
            <w:tcW w:w="4284" w:type="dxa"/>
          </w:tcPr>
          <w:p w14:paraId="3C6DA076">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c>
          <w:tcPr>
            <w:tcW w:w="4238" w:type="dxa"/>
          </w:tcPr>
          <w:p w14:paraId="54B1B66B">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r>
      <w:tr w14:paraId="6659D1FE">
        <w:tblPrEx>
          <w:tblCellMar>
            <w:top w:w="0" w:type="dxa"/>
            <w:left w:w="108" w:type="dxa"/>
            <w:bottom w:w="0" w:type="dxa"/>
            <w:right w:w="108" w:type="dxa"/>
          </w:tblCellMar>
        </w:tblPrEx>
        <w:tc>
          <w:tcPr>
            <w:tcW w:w="4284" w:type="dxa"/>
          </w:tcPr>
          <w:p w14:paraId="3B4055FB">
            <w:pPr>
              <w:pStyle w:val="28"/>
              <w:spacing w:before="120" w:after="120" w:line="360" w:lineRule="auto"/>
              <w:rPr>
                <w:rFonts w:hint="eastAsia" w:hAnsi="宋体" w:cstheme="minorBidi"/>
                <w:sz w:val="22"/>
                <w:szCs w:val="22"/>
              </w:rPr>
            </w:pPr>
            <w:r>
              <w:rPr>
                <w:rFonts w:hint="eastAsia" w:hAnsi="宋体" w:cstheme="minorBidi"/>
                <w:sz w:val="22"/>
                <w:szCs w:val="22"/>
              </w:rPr>
              <w:t>日期：2024年  月  日</w:t>
            </w:r>
          </w:p>
        </w:tc>
        <w:tc>
          <w:tcPr>
            <w:tcW w:w="4238" w:type="dxa"/>
          </w:tcPr>
          <w:p w14:paraId="2E2F443E">
            <w:pPr>
              <w:pStyle w:val="28"/>
              <w:spacing w:before="120" w:after="120" w:line="360" w:lineRule="auto"/>
              <w:rPr>
                <w:rFonts w:hint="eastAsia" w:hAnsi="宋体" w:cstheme="minorBidi"/>
                <w:sz w:val="22"/>
                <w:szCs w:val="22"/>
              </w:rPr>
            </w:pPr>
            <w:r>
              <w:rPr>
                <w:rFonts w:hint="eastAsia" w:hAnsi="宋体" w:cstheme="minorBidi"/>
                <w:sz w:val="22"/>
                <w:szCs w:val="22"/>
              </w:rPr>
              <w:t>日期：   年  月  日</w:t>
            </w:r>
          </w:p>
        </w:tc>
      </w:tr>
    </w:tbl>
    <w:p w14:paraId="1ED9E474">
      <w:pPr>
        <w:rPr>
          <w:rFonts w:hint="eastAsia" w:ascii="宋体" w:hAnsi="宋体" w:eastAsia="宋体" w:cs="宋体"/>
          <w:b/>
          <w:bCs/>
          <w:kern w:val="0"/>
          <w:sz w:val="24"/>
          <w:szCs w:val="24"/>
        </w:rPr>
      </w:pP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9" w:name="_Toc179553572"/>
      <w:r>
        <w:rPr>
          <w:rFonts w:hint="eastAsia" w:ascii="宋体" w:hAnsi="宋体" w:eastAsia="宋体" w:cs="宋体"/>
          <w:b/>
          <w:bCs/>
          <w:kern w:val="0"/>
          <w:sz w:val="36"/>
          <w:szCs w:val="36"/>
        </w:rPr>
        <w:t>第六章  投标文件格式</w:t>
      </w:r>
      <w:bookmarkEnd w:id="29"/>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5F384DAD">
      <w:pPr>
        <w:spacing w:line="264" w:lineRule="auto"/>
        <w:jc w:val="center"/>
        <w:rPr>
          <w:rFonts w:hint="eastAsia" w:ascii="宋体" w:hAnsi="宋体" w:eastAsia="宋体" w:cs="金山简魏碑"/>
          <w:sz w:val="36"/>
          <w:szCs w:val="21"/>
        </w:rPr>
      </w:pPr>
    </w:p>
    <w:p w14:paraId="0E08C28A">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一、磋商申请及声明格式</w:t>
      </w:r>
    </w:p>
    <w:p w14:paraId="0E2C06FF">
      <w:pPr>
        <w:jc w:val="center"/>
        <w:rPr>
          <w:rFonts w:hint="eastAsia" w:ascii="宋体" w:hAnsi="宋体" w:eastAsia="宋体" w:cs="Times New Roman"/>
          <w:b/>
          <w:color w:val="000000"/>
          <w:sz w:val="24"/>
          <w:szCs w:val="24"/>
        </w:rPr>
      </w:pP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磋商申请及声明</w:t>
      </w:r>
    </w:p>
    <w:p w14:paraId="7D06521F">
      <w:pPr>
        <w:spacing w:line="360" w:lineRule="auto"/>
        <w:rPr>
          <w:rFonts w:hint="eastAsia" w:ascii="宋体" w:hAnsi="宋体" w:eastAsia="宋体" w:cs="Times New Roman"/>
          <w:sz w:val="24"/>
          <w:szCs w:val="24"/>
        </w:rPr>
      </w:pPr>
      <w:bookmarkStart w:id="30"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1、所附投标报价表中规定的应提交首次投标总价（大写）：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bookmarkEnd w:id="30"/>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二、法定代表人授权委托书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（项目名称）</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31" w:name="_Toc25030888"/>
      <w:r>
        <w:rPr>
          <w:rFonts w:hint="eastAsia" w:ascii="宋体" w:hAnsi="宋体" w:eastAsia="宋体" w:cs="Times New Roman"/>
          <w:color w:val="000000"/>
          <w:sz w:val="24"/>
          <w:szCs w:val="24"/>
        </w:rPr>
        <w:t>附委托代理人的身份证明文件的复印件：</w:t>
      </w:r>
    </w:p>
    <w:p w14:paraId="7CA54B9C">
      <w:pPr>
        <w:spacing w:line="360" w:lineRule="auto"/>
        <w:rPr>
          <w:rFonts w:hint="eastAsia" w:ascii="宋体" w:hAnsi="宋体" w:eastAsia="宋体" w:cs="Times New Roman"/>
          <w:szCs w:val="24"/>
        </w:rPr>
        <w:sectPr>
          <w:footerReference r:id="rId8" w:type="default"/>
          <w:pgSz w:w="11906" w:h="16838"/>
          <w:pgMar w:top="1440" w:right="1800" w:bottom="1440" w:left="1800" w:header="851" w:footer="851" w:gutter="0"/>
          <w:cols w:space="720" w:num="1"/>
          <w:docGrid w:linePitch="312" w:charSpace="0"/>
        </w:sectPr>
      </w:pPr>
      <w:bookmarkStart w:id="32" w:name="_Toc434218974"/>
    </w:p>
    <w:bookmarkEnd w:id="32"/>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三、拟投入项目人员汇总表</w:t>
      </w:r>
    </w:p>
    <w:p w14:paraId="3256C703">
      <w:pPr>
        <w:jc w:val="center"/>
        <w:rPr>
          <w:rFonts w:hint="eastAsia" w:ascii="宋体" w:hAnsi="宋体" w:eastAsia="宋体" w:cs="Times New Roman"/>
          <w:b/>
          <w:color w:val="000000"/>
          <w:sz w:val="28"/>
          <w:szCs w:val="28"/>
        </w:rPr>
      </w:pP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68C1945">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6EA88A34">
      <w:pPr>
        <w:spacing w:line="360" w:lineRule="auto"/>
        <w:jc w:val="center"/>
        <w:rPr>
          <w:rFonts w:ascii="Times New Roman" w:hAnsi="Times New Roman" w:eastAsia="宋体" w:cs="Times New Roman"/>
          <w:b/>
          <w:sz w:val="36"/>
          <w:szCs w:val="36"/>
        </w:r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四</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D1D0322">
      <w:pPr>
        <w:spacing w:line="360" w:lineRule="auto"/>
        <w:rPr>
          <w:rFonts w:ascii="Times New Roman" w:hAnsi="Times New Roman" w:eastAsia="宋体" w:cs="Times New Roman"/>
          <w:b/>
          <w:sz w:val="28"/>
          <w:szCs w:val="28"/>
        </w:rPr>
      </w:pPr>
    </w:p>
    <w:p w14:paraId="4D0DEEE4">
      <w:pPr>
        <w:spacing w:line="360" w:lineRule="auto"/>
        <w:rPr>
          <w:rFonts w:ascii="Times New Roman" w:hAnsi="Times New Roman" w:eastAsia="宋体" w:cs="Times New Roman"/>
          <w:b/>
          <w:sz w:val="28"/>
          <w:szCs w:val="28"/>
        </w:rPr>
      </w:pPr>
    </w:p>
    <w:p w14:paraId="2A927BDE">
      <w:pPr>
        <w:spacing w:line="360" w:lineRule="auto"/>
        <w:rPr>
          <w:rFonts w:ascii="Times New Roman" w:hAnsi="Times New Roman" w:eastAsia="宋体" w:cs="Times New Roman"/>
          <w:b/>
          <w:sz w:val="28"/>
          <w:szCs w:val="28"/>
        </w:rPr>
      </w:pPr>
    </w:p>
    <w:p w14:paraId="50A6C1B9">
      <w:pPr>
        <w:spacing w:line="360" w:lineRule="auto"/>
        <w:rPr>
          <w:rFonts w:ascii="Times New Roman" w:hAnsi="Times New Roman" w:eastAsia="宋体" w:cs="Times New Roman"/>
          <w:b/>
          <w:sz w:val="28"/>
          <w:szCs w:val="28"/>
        </w:rPr>
      </w:pPr>
    </w:p>
    <w:p w14:paraId="2862BA63">
      <w:pPr>
        <w:spacing w:line="360" w:lineRule="auto"/>
        <w:rPr>
          <w:rFonts w:ascii="Times New Roman" w:hAnsi="Times New Roman" w:eastAsia="宋体" w:cs="Times New Roman"/>
          <w:b/>
          <w:sz w:val="28"/>
          <w:szCs w:val="28"/>
        </w:rPr>
      </w:pPr>
    </w:p>
    <w:p w14:paraId="6E953C2F">
      <w:pPr>
        <w:spacing w:line="360" w:lineRule="auto"/>
        <w:rPr>
          <w:rFonts w:ascii="Times New Roman" w:hAnsi="Times New Roman" w:eastAsia="宋体" w:cs="Times New Roman"/>
          <w:b/>
          <w:sz w:val="28"/>
          <w:szCs w:val="28"/>
        </w:rPr>
      </w:pPr>
    </w:p>
    <w:p w14:paraId="6E32B734">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五</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491A375D">
      <w:pPr>
        <w:autoSpaceDE w:val="0"/>
        <w:autoSpaceDN w:val="0"/>
        <w:spacing w:before="1"/>
        <w:jc w:val="left"/>
        <w:rPr>
          <w:rFonts w:hint="eastAsia" w:ascii="宋体" w:hAnsi="宋体" w:eastAsia="宋体" w:cs="宋体"/>
          <w:kern w:val="0"/>
          <w:sz w:val="14"/>
          <w:szCs w:val="24"/>
          <w:lang w:val="zh-CN" w:bidi="zh-CN"/>
        </w:rPr>
      </w:pPr>
    </w:p>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六、《技术条款偏离表》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79C3FDC1">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4159DDEF">
      <w:pPr>
        <w:spacing w:line="360" w:lineRule="auto"/>
        <w:jc w:val="center"/>
        <w:rPr>
          <w:rFonts w:hint="eastAsia" w:ascii="Times New Roman" w:hAnsi="宋体" w:eastAsia="宋体" w:cs="Times New Roman"/>
          <w:b/>
          <w:bCs/>
          <w:kern w:val="0"/>
          <w:sz w:val="24"/>
          <w:szCs w:val="24"/>
        </w:rPr>
      </w:pPr>
      <w:r>
        <w:rPr>
          <w:rFonts w:hint="eastAsia" w:ascii="Times New Roman" w:hAnsi="Times New Roman" w:eastAsia="宋体" w:cs="Times New Roman"/>
          <w:b/>
          <w:sz w:val="28"/>
          <w:szCs w:val="28"/>
        </w:rPr>
        <w:t>七、 服务</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2FA3E4F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3D942BC7">
      <w:pPr>
        <w:spacing w:line="360" w:lineRule="auto"/>
        <w:jc w:val="left"/>
        <w:rPr>
          <w:rFonts w:hint="eastAsia" w:ascii="Times New Roman" w:hAnsi="宋体" w:eastAsia="宋体" w:cs="Times New Roman"/>
          <w:kern w:val="0"/>
          <w:sz w:val="24"/>
          <w:szCs w:val="24"/>
        </w:rPr>
      </w:pPr>
    </w:p>
    <w:p w14:paraId="78604CC7">
      <w:pPr>
        <w:spacing w:line="360" w:lineRule="auto"/>
        <w:rPr>
          <w:rFonts w:hint="eastAsia" w:ascii="Times New Roman" w:hAnsi="宋体" w:eastAsia="宋体" w:cs="Times New Roman"/>
          <w:b/>
          <w:bCs/>
          <w:kern w:val="0"/>
          <w:sz w:val="24"/>
          <w:szCs w:val="24"/>
        </w:rPr>
      </w:pPr>
      <w:bookmarkStart w:id="33" w:name="_Toc434218975"/>
    </w:p>
    <w:p w14:paraId="216E662E">
      <w:pPr>
        <w:adjustRightInd w:val="0"/>
        <w:snapToGrid w:val="0"/>
        <w:spacing w:line="300" w:lineRule="auto"/>
        <w:rPr>
          <w:rFonts w:hint="eastAsia" w:ascii="宋体" w:hAnsi="宋体" w:eastAsia="宋体" w:cs="Times New Roman"/>
          <w:color w:val="000000"/>
          <w:szCs w:val="24"/>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八、无重大违法记录声明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437A07F7">
      <w:pPr>
        <w:adjustRightInd w:val="0"/>
        <w:snapToGrid w:val="0"/>
        <w:spacing w:line="300" w:lineRule="auto"/>
        <w:rPr>
          <w:rFonts w:hint="eastAsia" w:ascii="宋体" w:hAnsi="宋体" w:eastAsia="宋体" w:cs="宋体"/>
          <w:kern w:val="0"/>
          <w:sz w:val="24"/>
          <w:szCs w:val="24"/>
          <w:lang w:val="zh-CN" w:bidi="zh-CN"/>
        </w:rPr>
      </w:pPr>
    </w:p>
    <w:p w14:paraId="3B9074B5">
      <w:pPr>
        <w:adjustRightInd w:val="0"/>
        <w:snapToGrid w:val="0"/>
        <w:spacing w:line="300" w:lineRule="auto"/>
        <w:rPr>
          <w:rFonts w:hint="eastAsia" w:ascii="宋体" w:hAnsi="宋体" w:eastAsia="宋体" w:cs="宋体"/>
          <w:kern w:val="0"/>
          <w:sz w:val="24"/>
          <w:szCs w:val="24"/>
          <w:lang w:val="zh-CN" w:bidi="zh-CN"/>
        </w:rPr>
      </w:pPr>
    </w:p>
    <w:p w14:paraId="2FDA25C3">
      <w:pPr>
        <w:adjustRightInd w:val="0"/>
        <w:snapToGrid w:val="0"/>
        <w:spacing w:line="300" w:lineRule="auto"/>
        <w:rPr>
          <w:rFonts w:hint="eastAsia" w:ascii="宋体" w:hAnsi="宋体" w:eastAsia="宋体" w:cs="宋体"/>
          <w:kern w:val="0"/>
          <w:sz w:val="24"/>
          <w:szCs w:val="24"/>
          <w:lang w:val="zh-CN" w:bidi="zh-CN"/>
        </w:rPr>
      </w:pPr>
    </w:p>
    <w:p w14:paraId="5EE773CB">
      <w:pPr>
        <w:adjustRightInd w:val="0"/>
        <w:snapToGrid w:val="0"/>
        <w:spacing w:line="300" w:lineRule="auto"/>
        <w:rPr>
          <w:rFonts w:hint="eastAsia" w:ascii="宋体" w:hAnsi="宋体" w:eastAsia="宋体" w:cs="宋体"/>
          <w:kern w:val="0"/>
          <w:sz w:val="24"/>
          <w:szCs w:val="24"/>
          <w:lang w:val="zh-CN" w:bidi="zh-CN"/>
        </w:rPr>
      </w:pPr>
    </w:p>
    <w:p w14:paraId="7052174C">
      <w:pPr>
        <w:adjustRightInd w:val="0"/>
        <w:snapToGrid w:val="0"/>
        <w:spacing w:line="300" w:lineRule="auto"/>
        <w:rPr>
          <w:rFonts w:hint="eastAsia" w:ascii="宋体" w:hAnsi="宋体" w:eastAsia="宋体" w:cs="宋体"/>
          <w:kern w:val="0"/>
          <w:sz w:val="24"/>
          <w:szCs w:val="24"/>
          <w:lang w:val="zh-CN" w:bidi="zh-CN"/>
        </w:rPr>
      </w:pPr>
    </w:p>
    <w:p w14:paraId="1854B5AC">
      <w:pPr>
        <w:adjustRightInd w:val="0"/>
        <w:snapToGrid w:val="0"/>
        <w:spacing w:line="300" w:lineRule="auto"/>
        <w:jc w:val="center"/>
        <w:rPr>
          <w:rFonts w:hint="eastAsia" w:ascii="宋体" w:hAnsi="宋体" w:eastAsia="宋体" w:cs="Times New Roman"/>
          <w:b/>
          <w:color w:val="000000"/>
          <w:sz w:val="28"/>
          <w:szCs w:val="36"/>
        </w:rPr>
      </w:pPr>
      <w:r>
        <w:rPr>
          <w:rFonts w:hint="eastAsia" w:ascii="宋体" w:hAnsi="宋体" w:eastAsia="宋体" w:cs="Times New Roman"/>
          <w:b/>
          <w:color w:val="000000"/>
          <w:sz w:val="28"/>
          <w:szCs w:val="36"/>
        </w:rPr>
        <w:t>九、</w:t>
      </w:r>
      <w:bookmarkStart w:id="34" w:name="_Hlk117593844"/>
      <w:r>
        <w:rPr>
          <w:rFonts w:hint="eastAsia" w:ascii="宋体" w:hAnsi="宋体" w:eastAsia="宋体" w:cs="Times New Roman"/>
          <w:b/>
          <w:color w:val="000000"/>
          <w:sz w:val="28"/>
          <w:szCs w:val="36"/>
        </w:rPr>
        <w:t>具备履行合同所必需的设备和专业技术能力的声明</w:t>
      </w:r>
      <w:bookmarkEnd w:id="34"/>
    </w:p>
    <w:p w14:paraId="04CA5317">
      <w:pPr>
        <w:adjustRightInd w:val="0"/>
        <w:snapToGrid w:val="0"/>
        <w:spacing w:line="300" w:lineRule="auto"/>
        <w:rPr>
          <w:rFonts w:hint="eastAsia" w:ascii="宋体" w:hAnsi="宋体" w:eastAsia="宋体" w:cs="宋体"/>
          <w:kern w:val="0"/>
          <w:sz w:val="24"/>
          <w:szCs w:val="24"/>
          <w:lang w:val="zh-CN" w:bidi="zh-CN"/>
        </w:rPr>
      </w:pPr>
    </w:p>
    <w:p w14:paraId="60E25765">
      <w:pPr>
        <w:adjustRightInd w:val="0"/>
        <w:snapToGrid w:val="0"/>
        <w:spacing w:line="300" w:lineRule="auto"/>
        <w:jc w:val="center"/>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具备履行合同所必需的设备和专业技术能力的声明</w:t>
      </w:r>
    </w:p>
    <w:p w14:paraId="663FA6D0">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32EF73B2">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w:t>
      </w:r>
      <w:r>
        <w:rPr>
          <w:rFonts w:ascii="宋体" w:hAnsi="宋体" w:eastAsia="宋体" w:cs="宋体"/>
          <w:kern w:val="0"/>
          <w:sz w:val="24"/>
          <w:szCs w:val="24"/>
          <w:lang w:val="zh-CN" w:bidi="zh-CN"/>
        </w:rPr>
        <w:t xml:space="preserve">                             （</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名称）郑重声明：我公司具备履行本项采购合同所必需的设备和专业技术能力，为履行本项采购合同我单位具备如下主要设备和主要专业技术能力：</w:t>
      </w:r>
    </w:p>
    <w:p w14:paraId="2736505A">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主要设备有：</w:t>
      </w:r>
      <w:r>
        <w:rPr>
          <w:rFonts w:ascii="宋体" w:hAnsi="宋体" w:eastAsia="宋体" w:cs="宋体"/>
          <w:kern w:val="0"/>
          <w:sz w:val="24"/>
          <w:szCs w:val="24"/>
          <w:lang w:val="zh-CN" w:bidi="zh-CN"/>
        </w:rPr>
        <w:t xml:space="preserve">                          。( 若有 )</w:t>
      </w:r>
    </w:p>
    <w:p w14:paraId="69B55A9E">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主要专业技术能力有：</w:t>
      </w:r>
      <w:r>
        <w:rPr>
          <w:rFonts w:ascii="宋体" w:hAnsi="宋体" w:eastAsia="宋体" w:cs="宋体"/>
          <w:kern w:val="0"/>
          <w:sz w:val="24"/>
          <w:szCs w:val="24"/>
          <w:lang w:val="zh-CN" w:bidi="zh-CN"/>
        </w:rPr>
        <w:t xml:space="preserve">                  。( 若有 )</w:t>
      </w:r>
    </w:p>
    <w:p w14:paraId="6D625C00">
      <w:pPr>
        <w:adjustRightInd w:val="0"/>
        <w:snapToGrid w:val="0"/>
        <w:spacing w:line="300" w:lineRule="auto"/>
        <w:rPr>
          <w:rFonts w:hint="eastAsia" w:ascii="宋体" w:hAnsi="宋体" w:eastAsia="宋体" w:cs="宋体"/>
          <w:kern w:val="0"/>
          <w:sz w:val="24"/>
          <w:szCs w:val="24"/>
          <w:lang w:val="zh-CN" w:bidi="zh-CN"/>
        </w:rPr>
      </w:pPr>
    </w:p>
    <w:p w14:paraId="71706ED2">
      <w:pPr>
        <w:adjustRightInd w:val="0"/>
        <w:snapToGrid w:val="0"/>
        <w:spacing w:line="300" w:lineRule="auto"/>
        <w:rPr>
          <w:rFonts w:hint="eastAsia" w:ascii="宋体" w:hAnsi="宋体" w:eastAsia="宋体" w:cs="宋体"/>
          <w:kern w:val="0"/>
          <w:sz w:val="24"/>
          <w:szCs w:val="24"/>
          <w:lang w:val="zh-CN" w:bidi="zh-CN"/>
        </w:rPr>
      </w:pPr>
    </w:p>
    <w:p w14:paraId="01587431">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声明人：（公章）</w:t>
      </w:r>
    </w:p>
    <w:p w14:paraId="396E1FB1">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______年    月    日</w:t>
      </w:r>
    </w:p>
    <w:p w14:paraId="50C2A35D">
      <w:pPr>
        <w:adjustRightInd w:val="0"/>
        <w:snapToGrid w:val="0"/>
        <w:spacing w:line="300" w:lineRule="auto"/>
        <w:rPr>
          <w:rFonts w:hint="eastAsia" w:ascii="宋体" w:hAnsi="宋体" w:eastAsia="宋体" w:cs="Times New Roman"/>
          <w:color w:val="000000"/>
          <w:szCs w:val="24"/>
        </w:rPr>
      </w:pPr>
    </w:p>
    <w:bookmarkEnd w:id="31"/>
    <w:bookmarkEnd w:id="33"/>
    <w:p w14:paraId="560218D3">
      <w:pPr>
        <w:rPr>
          <w:rFonts w:hint="eastAsia"/>
        </w:rPr>
      </w:pPr>
    </w:p>
    <w:p w14:paraId="297F4207">
      <w:pPr>
        <w:rPr>
          <w:rFonts w:hint="eastAsia"/>
        </w:rPr>
      </w:pPr>
    </w:p>
    <w:p w14:paraId="1214C530">
      <w:pPr>
        <w:rPr>
          <w:rFonts w:hint="eastAsia"/>
        </w:rPr>
      </w:pPr>
    </w:p>
    <w:p w14:paraId="41DD7038">
      <w:pPr>
        <w:rPr>
          <w:rFonts w:hint="eastAsia"/>
        </w:rPr>
      </w:pPr>
    </w:p>
    <w:p w14:paraId="6726ED82">
      <w:pPr>
        <w:rPr>
          <w:rFonts w:hint="eastAsia"/>
        </w:rPr>
      </w:pPr>
    </w:p>
    <w:p w14:paraId="5B7273E9">
      <w:pPr>
        <w:spacing w:line="360" w:lineRule="auto"/>
        <w:rPr>
          <w:rFonts w:ascii="Times New Roman" w:hAnsi="Times New Roman" w:eastAsia="宋体" w:cs="Times New Roman"/>
          <w:b/>
          <w:sz w:val="28"/>
          <w:szCs w:val="28"/>
        </w:rPr>
      </w:pPr>
    </w:p>
    <w:p w14:paraId="50D589C2">
      <w:pPr>
        <w:spacing w:line="360" w:lineRule="auto"/>
        <w:rPr>
          <w:rFonts w:ascii="Times New Roman" w:hAnsi="Times New Roman" w:eastAsia="宋体" w:cs="Times New Roman"/>
          <w:b/>
          <w:sz w:val="28"/>
          <w:szCs w:val="28"/>
        </w:rPr>
      </w:pPr>
    </w:p>
    <w:p w14:paraId="2B12C8B2">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十、投标人认为需提供的其他资料（格式自拟）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Rounded MT Bold">
    <w:panose1 w:val="020F0704030504030204"/>
    <w:charset w:val="00"/>
    <w:family w:val="swiss"/>
    <w:pitch w:val="default"/>
    <w:sig w:usb0="00000003" w:usb1="00000000" w:usb2="00000000" w:usb3="00000000" w:csb0="2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微软雅黑"/>
    <w:panose1 w:val="00000000000000000000"/>
    <w:charset w:val="86"/>
    <w:family w:val="auto"/>
    <w:pitch w:val="default"/>
    <w:sig w:usb0="00000000" w:usb1="00000000" w:usb2="0000001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文鼎CS中宋">
    <w:altName w:val="宋体"/>
    <w:panose1 w:val="00000000000000000000"/>
    <w:charset w:val="86"/>
    <w:family w:val="modern"/>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KNLe">
    <w:altName w:val="Segoe Print"/>
    <w:panose1 w:val="00000000000000000000"/>
    <w:charset w:val="00"/>
    <w:family w:val="auto"/>
    <w:pitch w:val="default"/>
    <w:sig w:usb0="00000000" w:usb1="00000000" w:usb2="00000000" w:usb3="00000000" w:csb0="00000000" w:csb1="00000000"/>
  </w:font>
  <w:font w:name="7BKN_gb2312">
    <w:altName w:val="HP Simplified Hans"/>
    <w:panose1 w:val="00000000000000000000"/>
    <w:charset w:val="00"/>
    <w:family w:val="roman"/>
    <w:pitch w:val="default"/>
    <w:sig w:usb0="00000000" w:usb1="00000000" w:usb2="00000000" w:usb3="00000000" w:csb0="00040001" w:csb1="00000000"/>
  </w:font>
  <w:font w:name="苹方-简">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NDVPKN">
    <w:altName w:val="HP Simplified Hans"/>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HP Simplified Hans"/>
    <w:panose1 w:val="00000000000000000000"/>
    <w:charset w:val="00"/>
    <w:family w:val="roman"/>
    <w:pitch w:val="default"/>
    <w:sig w:usb0="00000000" w:usb1="00000000" w:usb2="00000000" w:usb3="00000000" w:csb0="00040001" w:csb1="00000000"/>
  </w:font>
  <w:font w:name="*ndvpkn">
    <w:altName w:val="HP Simplified Hans"/>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ヒラギノ角ゴ Pro W3">
    <w:altName w:val="Yu Gothic"/>
    <w:panose1 w:val="00000000000000000000"/>
    <w:charset w:val="80"/>
    <w:family w:val="auto"/>
    <w:pitch w:val="default"/>
    <w:sig w:usb0="00000000" w:usb1="00000000" w:usb2="00000012" w:usb3="00000000" w:csb0="0002000D" w:csb1="00000000"/>
  </w:font>
  <w:font w:name="方正姚体">
    <w:panose1 w:val="02010601030101010101"/>
    <w:charset w:val="86"/>
    <w:family w:val="auto"/>
    <w:pitch w:val="default"/>
    <w:sig w:usb0="00000003"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22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E78AD8"/>
    <w:multiLevelType w:val="singleLevel"/>
    <w:tmpl w:val="12E78AD8"/>
    <w:lvl w:ilvl="0" w:tentative="0">
      <w:start w:val="1"/>
      <w:numFmt w:val="decimal"/>
      <w:suff w:val="nothing"/>
      <w:lvlText w:val="（%1）"/>
      <w:lvlJc w:val="left"/>
    </w:lvl>
  </w:abstractNum>
  <w:abstractNum w:abstractNumId="1">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6">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5"/>
  </w:num>
  <w:num w:numId="3">
    <w:abstractNumId w:val="3"/>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123BE"/>
    <w:rsid w:val="0003323C"/>
    <w:rsid w:val="00033C32"/>
    <w:rsid w:val="00042E23"/>
    <w:rsid w:val="000452C3"/>
    <w:rsid w:val="00045BFB"/>
    <w:rsid w:val="0004691B"/>
    <w:rsid w:val="000476F8"/>
    <w:rsid w:val="000477A6"/>
    <w:rsid w:val="0007509A"/>
    <w:rsid w:val="00092D20"/>
    <w:rsid w:val="0009607A"/>
    <w:rsid w:val="00097866"/>
    <w:rsid w:val="000A151C"/>
    <w:rsid w:val="000A5977"/>
    <w:rsid w:val="000B0C48"/>
    <w:rsid w:val="000B7D80"/>
    <w:rsid w:val="000B7E60"/>
    <w:rsid w:val="000C4E24"/>
    <w:rsid w:val="000C7A92"/>
    <w:rsid w:val="000D27C5"/>
    <w:rsid w:val="000D6CE4"/>
    <w:rsid w:val="000E6C4D"/>
    <w:rsid w:val="000F4F11"/>
    <w:rsid w:val="000F57BA"/>
    <w:rsid w:val="001007D7"/>
    <w:rsid w:val="00102022"/>
    <w:rsid w:val="00103337"/>
    <w:rsid w:val="0010477F"/>
    <w:rsid w:val="00105D06"/>
    <w:rsid w:val="00114630"/>
    <w:rsid w:val="001149AD"/>
    <w:rsid w:val="00121CCF"/>
    <w:rsid w:val="00136332"/>
    <w:rsid w:val="00142326"/>
    <w:rsid w:val="00155DBD"/>
    <w:rsid w:val="00160FDB"/>
    <w:rsid w:val="00163E43"/>
    <w:rsid w:val="00171AE8"/>
    <w:rsid w:val="00173ABC"/>
    <w:rsid w:val="00181E31"/>
    <w:rsid w:val="00184BA3"/>
    <w:rsid w:val="00191021"/>
    <w:rsid w:val="00193ACD"/>
    <w:rsid w:val="001A22F5"/>
    <w:rsid w:val="001A2306"/>
    <w:rsid w:val="001B3638"/>
    <w:rsid w:val="001B5DC6"/>
    <w:rsid w:val="001B78C1"/>
    <w:rsid w:val="001D4435"/>
    <w:rsid w:val="001D55F3"/>
    <w:rsid w:val="001D5C67"/>
    <w:rsid w:val="001D6EDE"/>
    <w:rsid w:val="001D76D5"/>
    <w:rsid w:val="001F213C"/>
    <w:rsid w:val="001F4EA7"/>
    <w:rsid w:val="001F5A95"/>
    <w:rsid w:val="002010CF"/>
    <w:rsid w:val="00211C98"/>
    <w:rsid w:val="0021707E"/>
    <w:rsid w:val="0022124C"/>
    <w:rsid w:val="0023191E"/>
    <w:rsid w:val="00232A44"/>
    <w:rsid w:val="00233AAB"/>
    <w:rsid w:val="00242895"/>
    <w:rsid w:val="00244284"/>
    <w:rsid w:val="0024592F"/>
    <w:rsid w:val="00252E01"/>
    <w:rsid w:val="0025618A"/>
    <w:rsid w:val="002848BB"/>
    <w:rsid w:val="0028589B"/>
    <w:rsid w:val="002921F8"/>
    <w:rsid w:val="002921FC"/>
    <w:rsid w:val="00292F81"/>
    <w:rsid w:val="00296D7E"/>
    <w:rsid w:val="002C0946"/>
    <w:rsid w:val="002C193A"/>
    <w:rsid w:val="002C2BCE"/>
    <w:rsid w:val="002C2DE6"/>
    <w:rsid w:val="002C710D"/>
    <w:rsid w:val="002D431F"/>
    <w:rsid w:val="002D4FFD"/>
    <w:rsid w:val="002D6EC4"/>
    <w:rsid w:val="002E4159"/>
    <w:rsid w:val="0031519F"/>
    <w:rsid w:val="00325CB7"/>
    <w:rsid w:val="00333048"/>
    <w:rsid w:val="003361C7"/>
    <w:rsid w:val="003373A8"/>
    <w:rsid w:val="003555C4"/>
    <w:rsid w:val="0036628D"/>
    <w:rsid w:val="00375DDC"/>
    <w:rsid w:val="00381EC4"/>
    <w:rsid w:val="00390984"/>
    <w:rsid w:val="003A129C"/>
    <w:rsid w:val="003A2ACE"/>
    <w:rsid w:val="003A4A42"/>
    <w:rsid w:val="003A6E9A"/>
    <w:rsid w:val="003C76C1"/>
    <w:rsid w:val="003D276F"/>
    <w:rsid w:val="003D393E"/>
    <w:rsid w:val="003D4E19"/>
    <w:rsid w:val="003E0F25"/>
    <w:rsid w:val="003F129B"/>
    <w:rsid w:val="00404130"/>
    <w:rsid w:val="004335BC"/>
    <w:rsid w:val="0043638B"/>
    <w:rsid w:val="00450DEE"/>
    <w:rsid w:val="00464852"/>
    <w:rsid w:val="00464F07"/>
    <w:rsid w:val="004670CF"/>
    <w:rsid w:val="00474E35"/>
    <w:rsid w:val="00474F9B"/>
    <w:rsid w:val="00483AF2"/>
    <w:rsid w:val="00484B1A"/>
    <w:rsid w:val="00486A2C"/>
    <w:rsid w:val="00495542"/>
    <w:rsid w:val="00495959"/>
    <w:rsid w:val="004B777A"/>
    <w:rsid w:val="004D219A"/>
    <w:rsid w:val="004D5CFE"/>
    <w:rsid w:val="004F3478"/>
    <w:rsid w:val="00500971"/>
    <w:rsid w:val="00517048"/>
    <w:rsid w:val="005255AD"/>
    <w:rsid w:val="005427A1"/>
    <w:rsid w:val="0054732A"/>
    <w:rsid w:val="00547ED7"/>
    <w:rsid w:val="005517D9"/>
    <w:rsid w:val="00552008"/>
    <w:rsid w:val="00553A8B"/>
    <w:rsid w:val="005548A0"/>
    <w:rsid w:val="00560AFB"/>
    <w:rsid w:val="00577FFD"/>
    <w:rsid w:val="005874FB"/>
    <w:rsid w:val="005B7FF9"/>
    <w:rsid w:val="005C40F9"/>
    <w:rsid w:val="005C55ED"/>
    <w:rsid w:val="005C7889"/>
    <w:rsid w:val="005D752A"/>
    <w:rsid w:val="005E5153"/>
    <w:rsid w:val="005E6137"/>
    <w:rsid w:val="0060675E"/>
    <w:rsid w:val="00610176"/>
    <w:rsid w:val="006103C6"/>
    <w:rsid w:val="00611206"/>
    <w:rsid w:val="00615BD7"/>
    <w:rsid w:val="00626128"/>
    <w:rsid w:val="00632441"/>
    <w:rsid w:val="0063292E"/>
    <w:rsid w:val="00640237"/>
    <w:rsid w:val="00640980"/>
    <w:rsid w:val="00646F14"/>
    <w:rsid w:val="0066257C"/>
    <w:rsid w:val="00670DD5"/>
    <w:rsid w:val="00677421"/>
    <w:rsid w:val="006A1DB2"/>
    <w:rsid w:val="006B235C"/>
    <w:rsid w:val="006B6B07"/>
    <w:rsid w:val="006B7CD7"/>
    <w:rsid w:val="006C015E"/>
    <w:rsid w:val="006D1D9F"/>
    <w:rsid w:val="006E5F6F"/>
    <w:rsid w:val="006E7114"/>
    <w:rsid w:val="006F6DFA"/>
    <w:rsid w:val="00700D1A"/>
    <w:rsid w:val="00703F5C"/>
    <w:rsid w:val="00725785"/>
    <w:rsid w:val="00733185"/>
    <w:rsid w:val="00733520"/>
    <w:rsid w:val="007417A8"/>
    <w:rsid w:val="00742089"/>
    <w:rsid w:val="00750960"/>
    <w:rsid w:val="007607B3"/>
    <w:rsid w:val="00763D27"/>
    <w:rsid w:val="007739E9"/>
    <w:rsid w:val="00786B10"/>
    <w:rsid w:val="0079395A"/>
    <w:rsid w:val="007A0C78"/>
    <w:rsid w:val="007A47CB"/>
    <w:rsid w:val="007B309E"/>
    <w:rsid w:val="007B541E"/>
    <w:rsid w:val="007B74BA"/>
    <w:rsid w:val="007D20EB"/>
    <w:rsid w:val="007F748D"/>
    <w:rsid w:val="0080043C"/>
    <w:rsid w:val="00800684"/>
    <w:rsid w:val="00804A75"/>
    <w:rsid w:val="008110AF"/>
    <w:rsid w:val="008132B3"/>
    <w:rsid w:val="00815E81"/>
    <w:rsid w:val="00821D45"/>
    <w:rsid w:val="008239EE"/>
    <w:rsid w:val="00833B7A"/>
    <w:rsid w:val="00850066"/>
    <w:rsid w:val="008514EE"/>
    <w:rsid w:val="00855981"/>
    <w:rsid w:val="00862314"/>
    <w:rsid w:val="00863E50"/>
    <w:rsid w:val="00865A17"/>
    <w:rsid w:val="00880EBD"/>
    <w:rsid w:val="00891373"/>
    <w:rsid w:val="00891E2F"/>
    <w:rsid w:val="008B2E53"/>
    <w:rsid w:val="008B51BD"/>
    <w:rsid w:val="008C1CBA"/>
    <w:rsid w:val="008D614E"/>
    <w:rsid w:val="008E0405"/>
    <w:rsid w:val="008E087F"/>
    <w:rsid w:val="008E45D9"/>
    <w:rsid w:val="008E5536"/>
    <w:rsid w:val="008F1701"/>
    <w:rsid w:val="009209BE"/>
    <w:rsid w:val="00922744"/>
    <w:rsid w:val="00941DC9"/>
    <w:rsid w:val="0095024B"/>
    <w:rsid w:val="00951F45"/>
    <w:rsid w:val="009553C8"/>
    <w:rsid w:val="00955D97"/>
    <w:rsid w:val="009766E3"/>
    <w:rsid w:val="009976B9"/>
    <w:rsid w:val="009A1877"/>
    <w:rsid w:val="009A64DA"/>
    <w:rsid w:val="009B0CD4"/>
    <w:rsid w:val="009B41DA"/>
    <w:rsid w:val="009C1E72"/>
    <w:rsid w:val="009C7C3B"/>
    <w:rsid w:val="009D63AB"/>
    <w:rsid w:val="009E1571"/>
    <w:rsid w:val="009F3898"/>
    <w:rsid w:val="009F57A2"/>
    <w:rsid w:val="00A10E32"/>
    <w:rsid w:val="00A11BFB"/>
    <w:rsid w:val="00A12BFB"/>
    <w:rsid w:val="00A14E36"/>
    <w:rsid w:val="00A21FFE"/>
    <w:rsid w:val="00A22212"/>
    <w:rsid w:val="00A27FB2"/>
    <w:rsid w:val="00A35246"/>
    <w:rsid w:val="00A56103"/>
    <w:rsid w:val="00A6191D"/>
    <w:rsid w:val="00A75AF6"/>
    <w:rsid w:val="00A94E06"/>
    <w:rsid w:val="00AA4DBC"/>
    <w:rsid w:val="00AD0670"/>
    <w:rsid w:val="00B030B2"/>
    <w:rsid w:val="00B2172F"/>
    <w:rsid w:val="00B321BA"/>
    <w:rsid w:val="00B44235"/>
    <w:rsid w:val="00B66A71"/>
    <w:rsid w:val="00B76CD8"/>
    <w:rsid w:val="00B9434A"/>
    <w:rsid w:val="00BA1CC0"/>
    <w:rsid w:val="00BA4C0A"/>
    <w:rsid w:val="00BB2530"/>
    <w:rsid w:val="00BB674E"/>
    <w:rsid w:val="00BC23D1"/>
    <w:rsid w:val="00BC6E83"/>
    <w:rsid w:val="00BD672B"/>
    <w:rsid w:val="00BE22B3"/>
    <w:rsid w:val="00BF2C19"/>
    <w:rsid w:val="00BF405E"/>
    <w:rsid w:val="00BF543A"/>
    <w:rsid w:val="00C00C40"/>
    <w:rsid w:val="00C0684E"/>
    <w:rsid w:val="00C12E99"/>
    <w:rsid w:val="00C162E9"/>
    <w:rsid w:val="00C20743"/>
    <w:rsid w:val="00C22F77"/>
    <w:rsid w:val="00C25164"/>
    <w:rsid w:val="00C257ED"/>
    <w:rsid w:val="00C31456"/>
    <w:rsid w:val="00C3170E"/>
    <w:rsid w:val="00C3234E"/>
    <w:rsid w:val="00C32C0A"/>
    <w:rsid w:val="00C3748A"/>
    <w:rsid w:val="00C42590"/>
    <w:rsid w:val="00C469A4"/>
    <w:rsid w:val="00C47896"/>
    <w:rsid w:val="00C5607A"/>
    <w:rsid w:val="00C71335"/>
    <w:rsid w:val="00C73C8B"/>
    <w:rsid w:val="00C74119"/>
    <w:rsid w:val="00C74128"/>
    <w:rsid w:val="00C750C6"/>
    <w:rsid w:val="00C80489"/>
    <w:rsid w:val="00C82360"/>
    <w:rsid w:val="00C9190A"/>
    <w:rsid w:val="00CA4AD9"/>
    <w:rsid w:val="00CC5C93"/>
    <w:rsid w:val="00CE0D66"/>
    <w:rsid w:val="00CE4869"/>
    <w:rsid w:val="00CE57C0"/>
    <w:rsid w:val="00CE6763"/>
    <w:rsid w:val="00D04CE9"/>
    <w:rsid w:val="00D14EE1"/>
    <w:rsid w:val="00D30C22"/>
    <w:rsid w:val="00D507C5"/>
    <w:rsid w:val="00D56034"/>
    <w:rsid w:val="00D83D25"/>
    <w:rsid w:val="00D86264"/>
    <w:rsid w:val="00D93D79"/>
    <w:rsid w:val="00D93F24"/>
    <w:rsid w:val="00D94602"/>
    <w:rsid w:val="00DA4F45"/>
    <w:rsid w:val="00DB11B1"/>
    <w:rsid w:val="00DB1266"/>
    <w:rsid w:val="00DB48F7"/>
    <w:rsid w:val="00DB6016"/>
    <w:rsid w:val="00DC17D7"/>
    <w:rsid w:val="00DC4FEE"/>
    <w:rsid w:val="00DC5BCB"/>
    <w:rsid w:val="00DC7DDD"/>
    <w:rsid w:val="00DD3613"/>
    <w:rsid w:val="00DE0DEA"/>
    <w:rsid w:val="00DE3573"/>
    <w:rsid w:val="00DE725A"/>
    <w:rsid w:val="00DE7832"/>
    <w:rsid w:val="00E26226"/>
    <w:rsid w:val="00E315E7"/>
    <w:rsid w:val="00E3703C"/>
    <w:rsid w:val="00E51CFC"/>
    <w:rsid w:val="00E62386"/>
    <w:rsid w:val="00E62DC8"/>
    <w:rsid w:val="00E647AA"/>
    <w:rsid w:val="00E70B1F"/>
    <w:rsid w:val="00EA21B5"/>
    <w:rsid w:val="00EB458D"/>
    <w:rsid w:val="00EB6137"/>
    <w:rsid w:val="00EC1566"/>
    <w:rsid w:val="00ED36B1"/>
    <w:rsid w:val="00EF5EDF"/>
    <w:rsid w:val="00F040FD"/>
    <w:rsid w:val="00F042B7"/>
    <w:rsid w:val="00F24953"/>
    <w:rsid w:val="00F4245C"/>
    <w:rsid w:val="00F53AF4"/>
    <w:rsid w:val="00F541F9"/>
    <w:rsid w:val="00F561B4"/>
    <w:rsid w:val="00F56A3B"/>
    <w:rsid w:val="00F61A1B"/>
    <w:rsid w:val="00F661B1"/>
    <w:rsid w:val="00F76FCA"/>
    <w:rsid w:val="00F805F3"/>
    <w:rsid w:val="00F81F54"/>
    <w:rsid w:val="00F95A8A"/>
    <w:rsid w:val="00FA04BE"/>
    <w:rsid w:val="00FA3642"/>
    <w:rsid w:val="00FB00E4"/>
    <w:rsid w:val="00FB77D7"/>
    <w:rsid w:val="00FE0476"/>
    <w:rsid w:val="00FE6525"/>
    <w:rsid w:val="00FF5F55"/>
    <w:rsid w:val="45662D15"/>
    <w:rsid w:val="4EDEAD2B"/>
    <w:rsid w:val="776FE406"/>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qFormat/>
    <w:uiPriority w:val="1"/>
  </w:style>
  <w:style w:type="table" w:default="1" w:styleId="58">
    <w:name w:val="Normal Table"/>
    <w:semiHidden/>
    <w:unhideWhenUsed/>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qFormat/>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0"/>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uiPriority w:val="99"/>
    <w:pPr>
      <w:ind w:firstLine="420" w:firstLineChars="200"/>
    </w:pPr>
  </w:style>
  <w:style w:type="paragraph" w:customStyle="1" w:styleId="555">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48F5-8F6D-499D-AAF9-A6BBC9D2BFF5}">
  <ds:schemaRefs/>
</ds:datastoreItem>
</file>

<file path=docProps/app.xml><?xml version="1.0" encoding="utf-8"?>
<Properties xmlns="http://schemas.openxmlformats.org/officeDocument/2006/extended-properties" xmlns:vt="http://schemas.openxmlformats.org/officeDocument/2006/docPropsVTypes">
  <Template>Normal</Template>
  <Pages>41</Pages>
  <Words>2996</Words>
  <Characters>3148</Characters>
  <Lines>165</Lines>
  <Paragraphs>46</Paragraphs>
  <TotalTime>16</TotalTime>
  <ScaleCrop>false</ScaleCrop>
  <LinksUpToDate>false</LinksUpToDate>
  <CharactersWithSpaces>3198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2024-11-25T03:01:00Z</dcterms:created>
  <dc:creator>张 屹</dc:creator>
  <cp:lastModifiedBy>努力努力再努力的吴小宝</cp:lastModifiedBy>
  <cp:lastPrinted>2023-03-04T14:19:00Z</cp:lastPrinted>
  <dcterms:modified xsi:type="dcterms:W3CDTF">2024-12-04T03:14:38Z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8E4767DE49CC4E2982716C1B1A538D66_13</vt:lpwstr>
  </property>
</Properties>
</file>